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2C66" w14:textId="77777777" w:rsidR="000138D8" w:rsidRPr="000138D8" w:rsidRDefault="000138D8" w:rsidP="000138D8">
      <w:pPr>
        <w:ind w:right="44"/>
        <w:jc w:val="both"/>
        <w:rPr>
          <w:rFonts w:asciiTheme="minorHAnsi" w:hAnsiTheme="minorHAnsi" w:cstheme="minorHAnsi"/>
          <w:b/>
          <w:bCs/>
        </w:rPr>
      </w:pPr>
      <w:bookmarkStart w:id="0" w:name="_Hlk133923405"/>
      <w:r w:rsidRPr="000138D8">
        <w:rPr>
          <w:rFonts w:asciiTheme="minorHAnsi" w:hAnsiTheme="minorHAnsi" w:cstheme="minorHAnsi"/>
          <w:b/>
          <w:bCs/>
        </w:rPr>
        <w:t>DOCUMENTO DE TRABAJO PARA LA CONSULTA RESPECTO AL ARTÍCULO 145, PENÚLTIMO PÁRRAFO, DEL CÓDIGO CIVIL PARA EL ESTADO DE VERACRUZ DE IGNACIO DE LA LLAVE.</w:t>
      </w:r>
    </w:p>
    <w:p w14:paraId="7AC31FCA" w14:textId="77777777" w:rsidR="000138D8" w:rsidRPr="000138D8" w:rsidRDefault="000138D8" w:rsidP="000138D8">
      <w:pPr>
        <w:ind w:right="44"/>
        <w:jc w:val="both"/>
        <w:rPr>
          <w:rFonts w:asciiTheme="minorHAnsi" w:hAnsiTheme="minorHAnsi" w:cstheme="minorHAnsi"/>
          <w:b/>
          <w:bCs/>
        </w:rPr>
      </w:pPr>
    </w:p>
    <w:p w14:paraId="2AA78750" w14:textId="195B986E" w:rsidR="000138D8" w:rsidRPr="00CB3A01" w:rsidRDefault="000138D8" w:rsidP="00203F06">
      <w:pPr>
        <w:pStyle w:val="Prrafodelista"/>
        <w:numPr>
          <w:ilvl w:val="0"/>
          <w:numId w:val="38"/>
        </w:numPr>
        <w:ind w:right="44"/>
        <w:jc w:val="both"/>
        <w:rPr>
          <w:rFonts w:asciiTheme="minorHAnsi" w:hAnsiTheme="minorHAnsi" w:cstheme="minorHAnsi"/>
          <w:b/>
          <w:bCs/>
        </w:rPr>
      </w:pPr>
      <w:r w:rsidRPr="00CB3A01">
        <w:rPr>
          <w:rFonts w:asciiTheme="minorHAnsi" w:hAnsiTheme="minorHAnsi" w:cstheme="minorHAnsi"/>
          <w:b/>
          <w:bCs/>
        </w:rPr>
        <w:t xml:space="preserve">OBJETIVO. </w:t>
      </w:r>
    </w:p>
    <w:p w14:paraId="3DEFC909" w14:textId="77777777" w:rsidR="00B63469" w:rsidRPr="000138D8" w:rsidRDefault="00B63469" w:rsidP="000138D8">
      <w:pPr>
        <w:ind w:right="44"/>
        <w:jc w:val="both"/>
        <w:rPr>
          <w:rFonts w:asciiTheme="minorHAnsi" w:hAnsiTheme="minorHAnsi" w:cstheme="minorHAnsi"/>
          <w:b/>
          <w:bCs/>
        </w:rPr>
      </w:pPr>
    </w:p>
    <w:p w14:paraId="72A7867B" w14:textId="42C84C39" w:rsidR="000138D8" w:rsidRPr="00CB3A01" w:rsidRDefault="000138D8" w:rsidP="000138D8">
      <w:pPr>
        <w:ind w:right="44"/>
        <w:jc w:val="both"/>
        <w:rPr>
          <w:rFonts w:asciiTheme="minorHAnsi" w:hAnsiTheme="minorHAnsi" w:cstheme="minorHAnsi"/>
          <w:bCs/>
        </w:rPr>
      </w:pPr>
      <w:r w:rsidRPr="000138D8">
        <w:rPr>
          <w:rFonts w:asciiTheme="minorHAnsi" w:hAnsiTheme="minorHAnsi" w:cstheme="minorHAnsi"/>
          <w:bCs/>
        </w:rPr>
        <w:t xml:space="preserve">Este documento </w:t>
      </w:r>
      <w:r w:rsidRPr="00CB3A01">
        <w:rPr>
          <w:rFonts w:asciiTheme="minorHAnsi" w:hAnsiTheme="minorHAnsi" w:cstheme="minorHAnsi"/>
          <w:bCs/>
        </w:rPr>
        <w:t xml:space="preserve">y los anexos del </w:t>
      </w:r>
      <w:proofErr w:type="spellStart"/>
      <w:r w:rsidRPr="00CB3A01">
        <w:rPr>
          <w:rFonts w:asciiTheme="minorHAnsi" w:hAnsiTheme="minorHAnsi" w:cstheme="minorHAnsi"/>
          <w:bCs/>
        </w:rPr>
        <w:t>micrositio</w:t>
      </w:r>
      <w:proofErr w:type="spellEnd"/>
      <w:r w:rsidRPr="00CB3A01">
        <w:rPr>
          <w:rFonts w:asciiTheme="minorHAnsi" w:hAnsiTheme="minorHAnsi" w:cstheme="minorHAnsi"/>
          <w:bCs/>
        </w:rPr>
        <w:t xml:space="preserve"> de la </w:t>
      </w:r>
      <w:r w:rsidR="00382E95" w:rsidRPr="00CB3A01">
        <w:rPr>
          <w:rFonts w:asciiTheme="minorHAnsi" w:hAnsiTheme="minorHAnsi" w:cstheme="minorHAnsi"/>
          <w:bCs/>
        </w:rPr>
        <w:t>Consulta</w:t>
      </w:r>
      <w:r w:rsidRPr="00CB3A01">
        <w:rPr>
          <w:rFonts w:asciiTheme="minorHAnsi" w:hAnsiTheme="minorHAnsi" w:cstheme="minorHAnsi"/>
          <w:bCs/>
        </w:rPr>
        <w:t xml:space="preserve"> </w:t>
      </w:r>
      <w:r w:rsidRPr="000138D8">
        <w:rPr>
          <w:rFonts w:asciiTheme="minorHAnsi" w:hAnsiTheme="minorHAnsi" w:cstheme="minorHAnsi"/>
          <w:bCs/>
        </w:rPr>
        <w:t>busca</w:t>
      </w:r>
      <w:r w:rsidRPr="00CB3A01">
        <w:rPr>
          <w:rFonts w:asciiTheme="minorHAnsi" w:hAnsiTheme="minorHAnsi" w:cstheme="minorHAnsi"/>
          <w:bCs/>
        </w:rPr>
        <w:t>n</w:t>
      </w:r>
      <w:r w:rsidRPr="000138D8">
        <w:rPr>
          <w:rFonts w:asciiTheme="minorHAnsi" w:hAnsiTheme="minorHAnsi" w:cstheme="minorHAnsi"/>
          <w:bCs/>
        </w:rPr>
        <w:t xml:space="preserve"> </w:t>
      </w:r>
      <w:r w:rsidRPr="00CB3A01">
        <w:rPr>
          <w:rFonts w:asciiTheme="minorHAnsi" w:hAnsiTheme="minorHAnsi" w:cstheme="minorHAnsi"/>
          <w:lang w:val="es-ES_tradnl"/>
        </w:rPr>
        <w:t xml:space="preserve">informar de manera amplia y precisa </w:t>
      </w:r>
      <w:r w:rsidRPr="000138D8">
        <w:rPr>
          <w:rFonts w:asciiTheme="minorHAnsi" w:hAnsiTheme="minorHAnsi" w:cstheme="minorHAnsi"/>
          <w:bCs/>
        </w:rPr>
        <w:t xml:space="preserve">a las personas con discapacidad de Veracruz, sus familias, personas que las cuidan o apoyan, así como organizaciones e instituciones de y para personas con discapacidad </w:t>
      </w:r>
      <w:r w:rsidRPr="00CB3A01">
        <w:rPr>
          <w:rFonts w:asciiTheme="minorHAnsi" w:hAnsiTheme="minorHAnsi" w:cstheme="minorHAnsi"/>
          <w:lang w:val="es-ES_tradnl"/>
        </w:rPr>
        <w:t xml:space="preserve">sobre la naturaleza y consecuencias de la Consulta a la cual se les está convocando, lo cual les permitirá </w:t>
      </w:r>
      <w:r w:rsidR="00EA30C9">
        <w:rPr>
          <w:rFonts w:asciiTheme="minorHAnsi" w:hAnsiTheme="minorHAnsi" w:cstheme="minorHAnsi"/>
          <w:lang w:val="es-ES_tradnl"/>
        </w:rPr>
        <w:t xml:space="preserve">para que </w:t>
      </w:r>
      <w:r w:rsidR="00EA30C9">
        <w:rPr>
          <w:rFonts w:asciiTheme="minorHAnsi" w:hAnsiTheme="minorHAnsi" w:cstheme="minorHAnsi"/>
          <w:bCs/>
        </w:rPr>
        <w:t>tomen</w:t>
      </w:r>
      <w:r w:rsidRPr="000138D8">
        <w:rPr>
          <w:rFonts w:asciiTheme="minorHAnsi" w:hAnsiTheme="minorHAnsi" w:cstheme="minorHAnsi"/>
          <w:bCs/>
        </w:rPr>
        <w:t xml:space="preserve"> una decisión </w:t>
      </w:r>
      <w:r w:rsidRPr="00CB3A01">
        <w:rPr>
          <w:rFonts w:asciiTheme="minorHAnsi" w:hAnsiTheme="minorHAnsi" w:cstheme="minorHAnsi"/>
          <w:bCs/>
        </w:rPr>
        <w:t xml:space="preserve">libre e </w:t>
      </w:r>
      <w:r w:rsidRPr="000138D8">
        <w:rPr>
          <w:rFonts w:asciiTheme="minorHAnsi" w:hAnsiTheme="minorHAnsi" w:cstheme="minorHAnsi"/>
          <w:bCs/>
        </w:rPr>
        <w:t>informada</w:t>
      </w:r>
      <w:r w:rsidRPr="00CB3A01">
        <w:rPr>
          <w:rFonts w:asciiTheme="minorHAnsi" w:hAnsiTheme="minorHAnsi" w:cstheme="minorHAnsi"/>
          <w:bCs/>
        </w:rPr>
        <w:t>.</w:t>
      </w:r>
    </w:p>
    <w:p w14:paraId="495C1090" w14:textId="77777777" w:rsidR="000138D8" w:rsidRPr="00CB3A01" w:rsidRDefault="000138D8" w:rsidP="000138D8">
      <w:pPr>
        <w:ind w:right="44"/>
        <w:jc w:val="both"/>
        <w:rPr>
          <w:rFonts w:asciiTheme="minorHAnsi" w:hAnsiTheme="minorHAnsi" w:cstheme="minorHAnsi"/>
          <w:bCs/>
        </w:rPr>
      </w:pPr>
    </w:p>
    <w:p w14:paraId="5D9D2732" w14:textId="32DFF114" w:rsidR="000138D8" w:rsidRPr="00CB3A01" w:rsidRDefault="000138D8" w:rsidP="000138D8">
      <w:pPr>
        <w:ind w:right="44"/>
        <w:jc w:val="both"/>
        <w:rPr>
          <w:rFonts w:asciiTheme="minorHAnsi" w:hAnsiTheme="minorHAnsi" w:cstheme="minorHAnsi"/>
          <w:bCs/>
        </w:rPr>
      </w:pPr>
    </w:p>
    <w:p w14:paraId="7BFF0B5A" w14:textId="24F5C377" w:rsidR="000138D8" w:rsidRPr="00CB3A01" w:rsidRDefault="001F1528" w:rsidP="00203F06">
      <w:pPr>
        <w:pStyle w:val="Prrafodelista"/>
        <w:numPr>
          <w:ilvl w:val="0"/>
          <w:numId w:val="38"/>
        </w:numPr>
        <w:jc w:val="both"/>
        <w:rPr>
          <w:rFonts w:asciiTheme="minorHAnsi" w:hAnsiTheme="minorHAnsi" w:cstheme="minorHAnsi"/>
          <w:b/>
          <w:bCs/>
          <w:lang w:val="es-ES_tradnl"/>
        </w:rPr>
      </w:pPr>
      <w:r w:rsidRPr="00CB3A01">
        <w:rPr>
          <w:rFonts w:asciiTheme="minorHAnsi" w:hAnsiTheme="minorHAnsi" w:cstheme="minorHAnsi"/>
          <w:b/>
          <w:bCs/>
          <w:lang w:val="es-ES_tradnl"/>
        </w:rPr>
        <w:t>CONTEXTO DEL</w:t>
      </w:r>
      <w:r w:rsidR="00382E95" w:rsidRPr="00CB3A01">
        <w:rPr>
          <w:rFonts w:asciiTheme="minorHAnsi" w:hAnsiTheme="minorHAnsi" w:cstheme="minorHAnsi"/>
          <w:b/>
          <w:bCs/>
          <w:lang w:val="es-ES_tradnl"/>
        </w:rPr>
        <w:t xml:space="preserve"> PROCESO DE CO</w:t>
      </w:r>
      <w:r w:rsidR="00203F06" w:rsidRPr="00CB3A01">
        <w:rPr>
          <w:rFonts w:asciiTheme="minorHAnsi" w:hAnsiTheme="minorHAnsi" w:cstheme="minorHAnsi"/>
          <w:b/>
          <w:bCs/>
          <w:lang w:val="es-ES_tradnl"/>
        </w:rPr>
        <w:t>N</w:t>
      </w:r>
      <w:r w:rsidRPr="00CB3A01">
        <w:rPr>
          <w:rFonts w:asciiTheme="minorHAnsi" w:hAnsiTheme="minorHAnsi" w:cstheme="minorHAnsi"/>
          <w:b/>
          <w:bCs/>
          <w:lang w:val="es-ES_tradnl"/>
        </w:rPr>
        <w:t>SULTA</w:t>
      </w:r>
      <w:r w:rsidR="00B63469" w:rsidRPr="00CB3A01">
        <w:rPr>
          <w:rFonts w:asciiTheme="minorHAnsi" w:hAnsiTheme="minorHAnsi" w:cstheme="minorHAnsi"/>
          <w:b/>
          <w:bCs/>
          <w:lang w:val="es-ES_tradnl"/>
        </w:rPr>
        <w:t>.</w:t>
      </w:r>
    </w:p>
    <w:p w14:paraId="1F82ED6D" w14:textId="77777777" w:rsidR="00B63469" w:rsidRPr="00CB3A01" w:rsidRDefault="00B63469" w:rsidP="000138D8">
      <w:pPr>
        <w:jc w:val="both"/>
        <w:rPr>
          <w:rFonts w:asciiTheme="minorHAnsi" w:hAnsiTheme="minorHAnsi" w:cstheme="minorHAnsi"/>
          <w:lang w:val="es-ES_tradnl"/>
        </w:rPr>
      </w:pPr>
    </w:p>
    <w:bookmarkEnd w:id="0"/>
    <w:p w14:paraId="255A6366" w14:textId="1B68B463" w:rsidR="003121CC" w:rsidRPr="00CB3A01" w:rsidRDefault="004B0D7C" w:rsidP="0014221D">
      <w:pPr>
        <w:pStyle w:val="Prrafodelista"/>
        <w:numPr>
          <w:ilvl w:val="0"/>
          <w:numId w:val="15"/>
        </w:numPr>
        <w:jc w:val="both"/>
        <w:rPr>
          <w:rFonts w:asciiTheme="minorHAnsi" w:hAnsiTheme="minorHAnsi" w:cstheme="minorHAnsi"/>
        </w:rPr>
      </w:pPr>
      <w:r w:rsidRPr="00CB3A01">
        <w:rPr>
          <w:rFonts w:asciiTheme="minorHAnsi" w:hAnsiTheme="minorHAnsi" w:cstheme="minorHAnsi"/>
        </w:rPr>
        <w:t>En Sesión del Pleno de la Suprema Corte de Justicia de la Nación (</w:t>
      </w:r>
      <w:r w:rsidR="009F44D0" w:rsidRPr="00CB3A01">
        <w:rPr>
          <w:rFonts w:asciiTheme="minorHAnsi" w:hAnsiTheme="minorHAnsi" w:cstheme="minorHAnsi"/>
        </w:rPr>
        <w:t xml:space="preserve">Suprema </w:t>
      </w:r>
      <w:r w:rsidR="00FC45BF" w:rsidRPr="00CB3A01">
        <w:rPr>
          <w:rFonts w:asciiTheme="minorHAnsi" w:hAnsiTheme="minorHAnsi" w:cstheme="minorHAnsi"/>
        </w:rPr>
        <w:t>Corte</w:t>
      </w:r>
      <w:r w:rsidRPr="00CB3A01">
        <w:rPr>
          <w:rFonts w:asciiTheme="minorHAnsi" w:hAnsiTheme="minorHAnsi" w:cstheme="minorHAnsi"/>
        </w:rPr>
        <w:t xml:space="preserve">) </w:t>
      </w:r>
      <w:r w:rsidR="00EA30C9">
        <w:rPr>
          <w:rFonts w:asciiTheme="minorHAnsi" w:hAnsiTheme="minorHAnsi" w:cstheme="minorHAnsi"/>
        </w:rPr>
        <w:t>el</w:t>
      </w:r>
      <w:r w:rsidRPr="00CB3A01">
        <w:rPr>
          <w:rFonts w:asciiTheme="minorHAnsi" w:hAnsiTheme="minorHAnsi" w:cstheme="minorHAnsi"/>
        </w:rPr>
        <w:t xml:space="preserve"> </w:t>
      </w:r>
      <w:r w:rsidR="00D67D7B" w:rsidRPr="00CB3A01">
        <w:rPr>
          <w:rFonts w:asciiTheme="minorHAnsi" w:hAnsiTheme="minorHAnsi" w:cstheme="minorHAnsi"/>
        </w:rPr>
        <w:t>30</w:t>
      </w:r>
      <w:r w:rsidR="0007507A" w:rsidRPr="00CB3A01">
        <w:rPr>
          <w:rFonts w:asciiTheme="minorHAnsi" w:hAnsiTheme="minorHAnsi" w:cstheme="minorHAnsi"/>
        </w:rPr>
        <w:t xml:space="preserve"> </w:t>
      </w:r>
      <w:r w:rsidRPr="00CB3A01">
        <w:rPr>
          <w:rFonts w:asciiTheme="minorHAnsi" w:hAnsiTheme="minorHAnsi" w:cstheme="minorHAnsi"/>
        </w:rPr>
        <w:t xml:space="preserve">de </w:t>
      </w:r>
      <w:r w:rsidR="00D67D7B" w:rsidRPr="00CB3A01">
        <w:rPr>
          <w:rFonts w:asciiTheme="minorHAnsi" w:hAnsiTheme="minorHAnsi" w:cstheme="minorHAnsi"/>
        </w:rPr>
        <w:t xml:space="preserve">mayo </w:t>
      </w:r>
      <w:r w:rsidRPr="00CB3A01">
        <w:rPr>
          <w:rFonts w:asciiTheme="minorHAnsi" w:hAnsiTheme="minorHAnsi" w:cstheme="minorHAnsi"/>
        </w:rPr>
        <w:t xml:space="preserve">del año </w:t>
      </w:r>
      <w:r w:rsidR="0007507A" w:rsidRPr="00CB3A01">
        <w:rPr>
          <w:rFonts w:asciiTheme="minorHAnsi" w:hAnsiTheme="minorHAnsi" w:cstheme="minorHAnsi"/>
        </w:rPr>
        <w:t>2022</w:t>
      </w:r>
      <w:r w:rsidRPr="00CB3A01">
        <w:rPr>
          <w:rFonts w:asciiTheme="minorHAnsi" w:hAnsiTheme="minorHAnsi" w:cstheme="minorHAnsi"/>
        </w:rPr>
        <w:t>,</w:t>
      </w:r>
      <w:r w:rsidR="00EA30C9">
        <w:rPr>
          <w:rFonts w:asciiTheme="minorHAnsi" w:hAnsiTheme="minorHAnsi" w:cstheme="minorHAnsi"/>
        </w:rPr>
        <w:t xml:space="preserve"> </w:t>
      </w:r>
      <w:r w:rsidRPr="00CB3A01">
        <w:rPr>
          <w:rFonts w:asciiTheme="minorHAnsi" w:hAnsiTheme="minorHAnsi" w:cstheme="minorHAnsi"/>
        </w:rPr>
        <w:t xml:space="preserve"> </w:t>
      </w:r>
      <w:r w:rsidR="003121CC" w:rsidRPr="00CB3A01">
        <w:rPr>
          <w:rFonts w:asciiTheme="minorHAnsi" w:hAnsiTheme="minorHAnsi" w:cstheme="minorHAnsi"/>
        </w:rPr>
        <w:t>resolvió la Acción</w:t>
      </w:r>
      <w:r w:rsidR="00EA30C9">
        <w:rPr>
          <w:rFonts w:asciiTheme="minorHAnsi" w:hAnsiTheme="minorHAnsi" w:cstheme="minorHAnsi"/>
        </w:rPr>
        <w:t xml:space="preserve"> </w:t>
      </w:r>
      <w:r w:rsidR="003121CC" w:rsidRPr="00CB3A01">
        <w:rPr>
          <w:rFonts w:asciiTheme="minorHAnsi" w:hAnsiTheme="minorHAnsi" w:cstheme="minorHAnsi"/>
        </w:rPr>
        <w:t>de Inconstitucionalidad 144/2020 y su acumulada 185/2020, promovidas por la Comisión Estatal de Derechos Humanos de Veracruz y la Comisión Nacional de los Derechos Humanos, respectivamente.</w:t>
      </w:r>
    </w:p>
    <w:p w14:paraId="17BEFBA2" w14:textId="77777777" w:rsidR="003121CC" w:rsidRPr="00CB3A01" w:rsidRDefault="003121CC" w:rsidP="0014221D">
      <w:pPr>
        <w:pStyle w:val="Prrafodelista"/>
        <w:ind w:left="502"/>
        <w:jc w:val="both"/>
        <w:rPr>
          <w:rFonts w:asciiTheme="minorHAnsi" w:hAnsiTheme="minorHAnsi" w:cstheme="minorHAnsi"/>
        </w:rPr>
      </w:pPr>
    </w:p>
    <w:p w14:paraId="0DD29551" w14:textId="547ED021" w:rsidR="00EA30C9" w:rsidRPr="00EA30C9" w:rsidRDefault="00EA30C9" w:rsidP="00EA30C9">
      <w:pPr>
        <w:pStyle w:val="Prrafodelista"/>
        <w:numPr>
          <w:ilvl w:val="0"/>
          <w:numId w:val="15"/>
        </w:numPr>
        <w:jc w:val="both"/>
        <w:rPr>
          <w:rFonts w:asciiTheme="minorHAnsi" w:hAnsiTheme="minorHAnsi" w:cstheme="minorHAnsi"/>
        </w:rPr>
      </w:pPr>
      <w:r w:rsidRPr="00EA30C9">
        <w:rPr>
          <w:rFonts w:asciiTheme="minorHAnsi" w:hAnsiTheme="minorHAnsi" w:cstheme="minorHAnsi"/>
        </w:rPr>
        <w:t xml:space="preserve">El </w:t>
      </w:r>
      <w:r w:rsidR="000A5DA4" w:rsidRPr="00EA30C9">
        <w:rPr>
          <w:rFonts w:asciiTheme="minorHAnsi" w:hAnsiTheme="minorHAnsi" w:cstheme="minorHAnsi"/>
        </w:rPr>
        <w:t xml:space="preserve">31 </w:t>
      </w:r>
      <w:r w:rsidR="000C381C" w:rsidRPr="00EA30C9">
        <w:rPr>
          <w:rFonts w:asciiTheme="minorHAnsi" w:hAnsiTheme="minorHAnsi" w:cstheme="minorHAnsi"/>
        </w:rPr>
        <w:t xml:space="preserve">de </w:t>
      </w:r>
      <w:r w:rsidR="000A5DA4" w:rsidRPr="00EA30C9">
        <w:rPr>
          <w:rFonts w:asciiTheme="minorHAnsi" w:hAnsiTheme="minorHAnsi" w:cstheme="minorHAnsi"/>
        </w:rPr>
        <w:t xml:space="preserve">mayo </w:t>
      </w:r>
      <w:r w:rsidR="000C381C" w:rsidRPr="00EA30C9">
        <w:rPr>
          <w:rFonts w:asciiTheme="minorHAnsi" w:hAnsiTheme="minorHAnsi" w:cstheme="minorHAnsi"/>
        </w:rPr>
        <w:t>del 202</w:t>
      </w:r>
      <w:r w:rsidR="000A5DA4" w:rsidRPr="00EA30C9">
        <w:rPr>
          <w:rFonts w:asciiTheme="minorHAnsi" w:hAnsiTheme="minorHAnsi" w:cstheme="minorHAnsi"/>
        </w:rPr>
        <w:t>2</w:t>
      </w:r>
      <w:r w:rsidR="000C381C" w:rsidRPr="00EA30C9">
        <w:rPr>
          <w:rFonts w:asciiTheme="minorHAnsi" w:hAnsiTheme="minorHAnsi" w:cstheme="minorHAnsi"/>
        </w:rPr>
        <w:t xml:space="preserve">, mediante oficio número </w:t>
      </w:r>
      <w:r w:rsidR="000A5DA4" w:rsidRPr="00EA30C9">
        <w:rPr>
          <w:rFonts w:asciiTheme="minorHAnsi" w:hAnsiTheme="minorHAnsi" w:cstheme="minorHAnsi"/>
        </w:rPr>
        <w:t>4451/2022</w:t>
      </w:r>
      <w:r w:rsidR="000C381C" w:rsidRPr="00EA30C9">
        <w:rPr>
          <w:rFonts w:asciiTheme="minorHAnsi" w:hAnsiTheme="minorHAnsi" w:cstheme="minorHAnsi"/>
        </w:rPr>
        <w:t>, se notific</w:t>
      </w:r>
      <w:r w:rsidR="000A5DA4" w:rsidRPr="00EA30C9">
        <w:rPr>
          <w:rFonts w:asciiTheme="minorHAnsi" w:hAnsiTheme="minorHAnsi" w:cstheme="minorHAnsi"/>
        </w:rPr>
        <w:t xml:space="preserve">ó </w:t>
      </w:r>
      <w:proofErr w:type="spellStart"/>
      <w:r w:rsidR="000C381C" w:rsidRPr="00EA30C9">
        <w:rPr>
          <w:rFonts w:asciiTheme="minorHAnsi" w:hAnsiTheme="minorHAnsi" w:cstheme="minorHAnsi"/>
        </w:rPr>
        <w:t xml:space="preserve">a </w:t>
      </w:r>
      <w:r w:rsidRPr="00EA30C9">
        <w:rPr>
          <w:rFonts w:asciiTheme="minorHAnsi" w:hAnsiTheme="minorHAnsi" w:cstheme="minorHAnsi"/>
        </w:rPr>
        <w:t>el</w:t>
      </w:r>
      <w:proofErr w:type="spellEnd"/>
      <w:r w:rsidR="008528B5" w:rsidRPr="00EA30C9">
        <w:rPr>
          <w:rFonts w:asciiTheme="minorHAnsi" w:hAnsiTheme="minorHAnsi" w:cstheme="minorHAnsi"/>
        </w:rPr>
        <w:t xml:space="preserve"> Congreso del Estado de </w:t>
      </w:r>
      <w:r w:rsidR="000C381C" w:rsidRPr="00EA30C9">
        <w:rPr>
          <w:rFonts w:asciiTheme="minorHAnsi" w:hAnsiTheme="minorHAnsi" w:cstheme="minorHAnsi"/>
        </w:rPr>
        <w:t xml:space="preserve">Veracruz de Ignacio de la Llave los puntos resolutivos de la sentencia dictada en la Acción de Inconstitucionalidad </w:t>
      </w:r>
      <w:r w:rsidR="00D3267E" w:rsidRPr="00EA30C9">
        <w:rPr>
          <w:rFonts w:asciiTheme="minorHAnsi" w:hAnsiTheme="minorHAnsi" w:cstheme="minorHAnsi"/>
        </w:rPr>
        <w:t>144/2020 y su acumulada 185/2020</w:t>
      </w:r>
      <w:r w:rsidR="00BF55C4" w:rsidRPr="00EA30C9">
        <w:rPr>
          <w:rFonts w:asciiTheme="minorHAnsi" w:hAnsiTheme="minorHAnsi" w:cstheme="minorHAnsi"/>
        </w:rPr>
        <w:t xml:space="preserve">, posteriormente, el 11 de octubre de 2022 se recibió </w:t>
      </w:r>
      <w:r>
        <w:rPr>
          <w:rFonts w:asciiTheme="minorHAnsi" w:hAnsiTheme="minorHAnsi" w:cstheme="minorHAnsi"/>
        </w:rPr>
        <w:t xml:space="preserve">el oficio 7865/2022 </w:t>
      </w:r>
      <w:r w:rsidR="00BF55C4" w:rsidRPr="00EA30C9">
        <w:rPr>
          <w:rFonts w:asciiTheme="minorHAnsi" w:hAnsiTheme="minorHAnsi" w:cstheme="minorHAnsi"/>
        </w:rPr>
        <w:t>por esta Soberan</w:t>
      </w:r>
      <w:r>
        <w:rPr>
          <w:rFonts w:asciiTheme="minorHAnsi" w:hAnsiTheme="minorHAnsi" w:cstheme="minorHAnsi"/>
        </w:rPr>
        <w:t>ía la sentencia citada.</w:t>
      </w:r>
    </w:p>
    <w:p w14:paraId="1F6729F6" w14:textId="77777777" w:rsidR="00393F02" w:rsidRDefault="00393F02" w:rsidP="00393F02">
      <w:pPr>
        <w:ind w:firstLine="142"/>
        <w:jc w:val="both"/>
        <w:rPr>
          <w:rFonts w:asciiTheme="minorHAnsi" w:hAnsiTheme="minorHAnsi" w:cstheme="minorHAnsi"/>
        </w:rPr>
      </w:pPr>
    </w:p>
    <w:p w14:paraId="0F74177B" w14:textId="0E398479" w:rsidR="004220B3" w:rsidRPr="00393F02" w:rsidRDefault="000A5DA4" w:rsidP="00393F02">
      <w:pPr>
        <w:ind w:left="502"/>
        <w:jc w:val="both"/>
        <w:rPr>
          <w:rFonts w:asciiTheme="minorHAnsi" w:hAnsiTheme="minorHAnsi" w:cstheme="minorHAnsi"/>
        </w:rPr>
      </w:pPr>
      <w:r w:rsidRPr="00393F02">
        <w:rPr>
          <w:rFonts w:asciiTheme="minorHAnsi" w:hAnsiTheme="minorHAnsi" w:cstheme="minorHAnsi"/>
        </w:rPr>
        <w:t xml:space="preserve">Para lo concerniente a la presente Consulta, </w:t>
      </w:r>
      <w:r w:rsidR="004220B3" w:rsidRPr="00393F02">
        <w:rPr>
          <w:rFonts w:asciiTheme="minorHAnsi" w:hAnsiTheme="minorHAnsi" w:cstheme="minorHAnsi"/>
        </w:rPr>
        <w:t xml:space="preserve">en el </w:t>
      </w:r>
      <w:r w:rsidR="00F713C9" w:rsidRPr="00393F02">
        <w:rPr>
          <w:rFonts w:asciiTheme="minorHAnsi" w:hAnsiTheme="minorHAnsi" w:cstheme="minorHAnsi"/>
        </w:rPr>
        <w:t xml:space="preserve">resultando de la Suprema Corte </w:t>
      </w:r>
      <w:r w:rsidR="00393F02">
        <w:rPr>
          <w:rFonts w:asciiTheme="minorHAnsi" w:hAnsiTheme="minorHAnsi" w:cstheme="minorHAnsi"/>
        </w:rPr>
        <w:t xml:space="preserve">       </w:t>
      </w:r>
      <w:r w:rsidR="00F713C9" w:rsidRPr="00393F02">
        <w:rPr>
          <w:rFonts w:asciiTheme="minorHAnsi" w:hAnsiTheme="minorHAnsi" w:cstheme="minorHAnsi"/>
        </w:rPr>
        <w:t xml:space="preserve">establecido en el </w:t>
      </w:r>
      <w:r w:rsidR="004220B3" w:rsidRPr="00393F02">
        <w:rPr>
          <w:rFonts w:asciiTheme="minorHAnsi" w:hAnsiTheme="minorHAnsi" w:cstheme="minorHAnsi"/>
        </w:rPr>
        <w:t>párrafo 164</w:t>
      </w:r>
      <w:r w:rsidR="00712452" w:rsidRPr="00393F02">
        <w:rPr>
          <w:rFonts w:asciiTheme="minorHAnsi" w:hAnsiTheme="minorHAnsi" w:cstheme="minorHAnsi"/>
        </w:rPr>
        <w:t xml:space="preserve"> de dicha sentencia</w:t>
      </w:r>
      <w:r w:rsidR="004220B3" w:rsidRPr="00393F02">
        <w:rPr>
          <w:rFonts w:asciiTheme="minorHAnsi" w:hAnsiTheme="minorHAnsi" w:cstheme="minorHAnsi"/>
        </w:rPr>
        <w:t>, bajo el rubro “</w:t>
      </w:r>
      <w:r w:rsidR="004220B3" w:rsidRPr="00393F02">
        <w:rPr>
          <w:rFonts w:asciiTheme="minorHAnsi" w:hAnsiTheme="minorHAnsi" w:cstheme="minorHAnsi"/>
          <w:b/>
          <w:bCs/>
        </w:rPr>
        <w:t>VI Efectos</w:t>
      </w:r>
      <w:r w:rsidR="00393F02">
        <w:rPr>
          <w:rFonts w:asciiTheme="minorHAnsi" w:hAnsiTheme="minorHAnsi" w:cstheme="minorHAnsi"/>
        </w:rPr>
        <w:t xml:space="preserve">”, determinó lo </w:t>
      </w:r>
      <w:r w:rsidR="004220B3" w:rsidRPr="00393F02">
        <w:rPr>
          <w:rFonts w:asciiTheme="minorHAnsi" w:hAnsiTheme="minorHAnsi" w:cstheme="minorHAnsi"/>
        </w:rPr>
        <w:t xml:space="preserve">siguiente: </w:t>
      </w:r>
    </w:p>
    <w:p w14:paraId="2DBBC5FF" w14:textId="77777777" w:rsidR="004220B3" w:rsidRPr="00CB3A01" w:rsidRDefault="004220B3" w:rsidP="004220B3">
      <w:pPr>
        <w:pStyle w:val="Prrafodelista"/>
        <w:ind w:left="502"/>
        <w:jc w:val="both"/>
        <w:rPr>
          <w:rFonts w:asciiTheme="minorHAnsi" w:hAnsiTheme="minorHAnsi" w:cstheme="minorHAnsi"/>
        </w:rPr>
      </w:pPr>
    </w:p>
    <w:p w14:paraId="2D1D2792" w14:textId="5BE48A12" w:rsidR="00B940F2" w:rsidRPr="00CB3A01" w:rsidRDefault="00B940F2" w:rsidP="00B940F2">
      <w:pPr>
        <w:pStyle w:val="Prrafodelista"/>
        <w:ind w:left="709" w:right="429"/>
        <w:jc w:val="both"/>
        <w:rPr>
          <w:rFonts w:asciiTheme="minorHAnsi" w:hAnsiTheme="minorHAnsi" w:cstheme="minorHAnsi"/>
        </w:rPr>
      </w:pPr>
      <w:r w:rsidRPr="00CB3A01">
        <w:rPr>
          <w:rFonts w:asciiTheme="minorHAnsi" w:hAnsiTheme="minorHAnsi" w:cstheme="minorHAnsi"/>
        </w:rPr>
        <w:t>“</w:t>
      </w:r>
      <w:r w:rsidRPr="00CB3A01">
        <w:rPr>
          <w:rFonts w:asciiTheme="minorHAnsi" w:hAnsiTheme="minorHAnsi" w:cstheme="minorHAnsi"/>
          <w:i/>
          <w:iCs/>
        </w:rPr>
        <w:t xml:space="preserve">164. Conforme a los artículos 41, fracción IV, y 42, párrafos primero y tercero, de la Ley Reglamentaria de las Fracciones I y II del Artículo 105 de la Constitución Política de los Estados Unidos Mexicanos, aplicables al presente medio de control en términos del artículo 73 del propio ordenamiento, </w:t>
      </w:r>
      <w:r w:rsidRPr="00CB3A01">
        <w:rPr>
          <w:rFonts w:asciiTheme="minorHAnsi" w:hAnsiTheme="minorHAnsi" w:cstheme="minorHAnsi"/>
          <w:b/>
          <w:bCs/>
          <w:i/>
          <w:iCs/>
        </w:rPr>
        <w:t>se impone declarar la invalidez del artículo 145, penúltimo párrafo, del Código Civil del Estado de Veracruz</w:t>
      </w:r>
      <w:r w:rsidRPr="00CB3A01">
        <w:rPr>
          <w:rFonts w:asciiTheme="minorHAnsi" w:hAnsiTheme="minorHAnsi" w:cstheme="minorHAnsi"/>
          <w:i/>
          <w:iCs/>
        </w:rPr>
        <w:t>, ante la ausencia de consulta a las personas con discapacidad; sobre lo cual, a efecto de que se genere una consecuencia acorde a la eficacia de ese derecho humano, esa declaración de invalidez no se limita a su expulsión del orden jurídico, sino que conlleva la obligación constitucional de que el referido órgano legislativo desarrolle la consulta correspondiente cumpliendo con los parámetros establecidos en esta determinación y, con base en sus resultados, emita la disposición que corresponda</w:t>
      </w:r>
      <w:r w:rsidRPr="00CB3A01">
        <w:rPr>
          <w:rFonts w:asciiTheme="minorHAnsi" w:hAnsiTheme="minorHAnsi" w:cstheme="minorHAnsi"/>
        </w:rPr>
        <w:t>”.</w:t>
      </w:r>
    </w:p>
    <w:p w14:paraId="7B7F4569" w14:textId="77777777" w:rsidR="00B940F2" w:rsidRPr="00CB3A01" w:rsidRDefault="00B940F2" w:rsidP="004220B3">
      <w:pPr>
        <w:pStyle w:val="Prrafodelista"/>
        <w:ind w:left="502"/>
        <w:jc w:val="both"/>
        <w:rPr>
          <w:rFonts w:asciiTheme="minorHAnsi" w:hAnsiTheme="minorHAnsi" w:cstheme="minorHAnsi"/>
        </w:rPr>
      </w:pPr>
    </w:p>
    <w:p w14:paraId="1A893EE4" w14:textId="0394E690" w:rsidR="004E5AD6" w:rsidRPr="00CB3A01" w:rsidRDefault="008528B5" w:rsidP="0014221D">
      <w:pPr>
        <w:pStyle w:val="Prrafodelista"/>
        <w:numPr>
          <w:ilvl w:val="0"/>
          <w:numId w:val="15"/>
        </w:numPr>
        <w:jc w:val="both"/>
        <w:rPr>
          <w:rFonts w:asciiTheme="minorHAnsi" w:hAnsiTheme="minorHAnsi" w:cstheme="minorHAnsi"/>
        </w:rPr>
      </w:pPr>
      <w:r w:rsidRPr="00CB3A01">
        <w:rPr>
          <w:rFonts w:asciiTheme="minorHAnsi" w:hAnsiTheme="minorHAnsi" w:cstheme="minorHAnsi"/>
        </w:rPr>
        <w:lastRenderedPageBreak/>
        <w:t>Derivado de lo</w:t>
      </w:r>
      <w:r w:rsidR="004E5AD6" w:rsidRPr="00CB3A01">
        <w:rPr>
          <w:rFonts w:asciiTheme="minorHAnsi" w:hAnsiTheme="minorHAnsi" w:cstheme="minorHAnsi"/>
        </w:rPr>
        <w:t xml:space="preserve"> anterior</w:t>
      </w:r>
      <w:r w:rsidRPr="00CB3A01">
        <w:rPr>
          <w:rFonts w:asciiTheme="minorHAnsi" w:hAnsiTheme="minorHAnsi" w:cstheme="minorHAnsi"/>
        </w:rPr>
        <w:t xml:space="preserve">, </w:t>
      </w:r>
      <w:r w:rsidR="004E5AD6" w:rsidRPr="00CB3A01">
        <w:rPr>
          <w:rFonts w:asciiTheme="minorHAnsi" w:hAnsiTheme="minorHAnsi" w:cstheme="minorHAnsi"/>
        </w:rPr>
        <w:t xml:space="preserve">en sesión ordinaria celebrada </w:t>
      </w:r>
      <w:r w:rsidRPr="00CB3A01">
        <w:rPr>
          <w:rFonts w:asciiTheme="minorHAnsi" w:hAnsiTheme="minorHAnsi" w:cstheme="minorHAnsi"/>
        </w:rPr>
        <w:t xml:space="preserve">el </w:t>
      </w:r>
      <w:r w:rsidR="004E5AD6" w:rsidRPr="00CB3A01">
        <w:rPr>
          <w:rFonts w:asciiTheme="minorHAnsi" w:hAnsiTheme="minorHAnsi" w:cstheme="minorHAnsi"/>
        </w:rPr>
        <w:t xml:space="preserve">día </w:t>
      </w:r>
      <w:r w:rsidR="00D978B7" w:rsidRPr="00CB3A01">
        <w:rPr>
          <w:rFonts w:asciiTheme="minorHAnsi" w:hAnsiTheme="minorHAnsi" w:cstheme="minorHAnsi"/>
        </w:rPr>
        <w:t>27 d</w:t>
      </w:r>
      <w:r w:rsidR="00344D59" w:rsidRPr="00CB3A01">
        <w:rPr>
          <w:rFonts w:asciiTheme="minorHAnsi" w:hAnsiTheme="minorHAnsi" w:cstheme="minorHAnsi"/>
        </w:rPr>
        <w:t xml:space="preserve">e </w:t>
      </w:r>
      <w:r w:rsidR="00D978B7" w:rsidRPr="00CB3A01">
        <w:rPr>
          <w:rFonts w:asciiTheme="minorHAnsi" w:hAnsiTheme="minorHAnsi" w:cstheme="minorHAnsi"/>
        </w:rPr>
        <w:t xml:space="preserve">febrero </w:t>
      </w:r>
      <w:r w:rsidR="004E5AD6" w:rsidRPr="00CB3A01">
        <w:rPr>
          <w:rFonts w:asciiTheme="minorHAnsi" w:hAnsiTheme="minorHAnsi" w:cstheme="minorHAnsi"/>
        </w:rPr>
        <w:t>del 202</w:t>
      </w:r>
      <w:r w:rsidR="00D978B7" w:rsidRPr="00CB3A01">
        <w:rPr>
          <w:rFonts w:asciiTheme="minorHAnsi" w:hAnsiTheme="minorHAnsi" w:cstheme="minorHAnsi"/>
        </w:rPr>
        <w:t>4</w:t>
      </w:r>
      <w:r w:rsidR="004E5AD6" w:rsidRPr="00CB3A01">
        <w:rPr>
          <w:rFonts w:asciiTheme="minorHAnsi" w:hAnsiTheme="minorHAnsi" w:cstheme="minorHAnsi"/>
        </w:rPr>
        <w:t xml:space="preserve">, la Diputación Permanente de la Sexagésima Sexta Legislatura del Honorable Congreso del Estado </w:t>
      </w:r>
      <w:r w:rsidR="00BF634C" w:rsidRPr="00CB3A01">
        <w:rPr>
          <w:rFonts w:asciiTheme="minorHAnsi" w:hAnsiTheme="minorHAnsi" w:cstheme="minorHAnsi"/>
        </w:rPr>
        <w:t xml:space="preserve">emitió </w:t>
      </w:r>
      <w:r w:rsidR="004E5AD6" w:rsidRPr="00CB3A01">
        <w:rPr>
          <w:rFonts w:asciiTheme="minorHAnsi" w:hAnsiTheme="minorHAnsi" w:cstheme="minorHAnsi"/>
        </w:rPr>
        <w:t>el Acuerdo por el que se design</w:t>
      </w:r>
      <w:r w:rsidR="00D14FB1" w:rsidRPr="00CB3A01">
        <w:rPr>
          <w:rFonts w:asciiTheme="minorHAnsi" w:hAnsiTheme="minorHAnsi" w:cstheme="minorHAnsi"/>
        </w:rPr>
        <w:t>ó</w:t>
      </w:r>
      <w:r w:rsidR="004E5AD6" w:rsidRPr="00CB3A01">
        <w:rPr>
          <w:rFonts w:asciiTheme="minorHAnsi" w:hAnsiTheme="minorHAnsi" w:cstheme="minorHAnsi"/>
        </w:rPr>
        <w:t xml:space="preserve"> a la Comisión Permanente de Derechos Humanos y Atención a Grupos Vulnerables </w:t>
      </w:r>
      <w:r w:rsidR="00BF634C" w:rsidRPr="00CB3A01">
        <w:rPr>
          <w:rFonts w:asciiTheme="minorHAnsi" w:hAnsiTheme="minorHAnsi" w:cstheme="minorHAnsi"/>
        </w:rPr>
        <w:t xml:space="preserve">para </w:t>
      </w:r>
      <w:r w:rsidR="004E5AD6" w:rsidRPr="00CB3A01">
        <w:rPr>
          <w:rFonts w:asciiTheme="minorHAnsi" w:hAnsiTheme="minorHAnsi" w:cstheme="minorHAnsi"/>
        </w:rPr>
        <w:t>realizar, con el apoyo de las unidades administrativas competentes del Poder Legislativo, los trabajos necesarios para dar cumplimiento</w:t>
      </w:r>
      <w:r w:rsidR="00D978B7" w:rsidRPr="00CB3A01">
        <w:rPr>
          <w:rFonts w:asciiTheme="minorHAnsi" w:hAnsiTheme="minorHAnsi" w:cstheme="minorHAnsi"/>
        </w:rPr>
        <w:t xml:space="preserve">, en lo relativo a la celebración de una Consulta a Personas con Discapacidad,  </w:t>
      </w:r>
      <w:r w:rsidR="004E5AD6" w:rsidRPr="00CB3A01">
        <w:rPr>
          <w:rFonts w:asciiTheme="minorHAnsi" w:hAnsiTheme="minorHAnsi" w:cstheme="minorHAnsi"/>
        </w:rPr>
        <w:t xml:space="preserve"> a la Sentencia del Pleno de la </w:t>
      </w:r>
      <w:r w:rsidR="00BF634C" w:rsidRPr="00CB3A01">
        <w:rPr>
          <w:rFonts w:asciiTheme="minorHAnsi" w:hAnsiTheme="minorHAnsi" w:cstheme="minorHAnsi"/>
        </w:rPr>
        <w:t xml:space="preserve">Suprema Corte </w:t>
      </w:r>
      <w:r w:rsidR="004E5AD6" w:rsidRPr="00CB3A01">
        <w:rPr>
          <w:rFonts w:asciiTheme="minorHAnsi" w:hAnsiTheme="minorHAnsi" w:cstheme="minorHAnsi"/>
        </w:rPr>
        <w:t xml:space="preserve">en la Acción de Inconstitucionalidad </w:t>
      </w:r>
      <w:r w:rsidR="00D978B7" w:rsidRPr="00CB3A01">
        <w:rPr>
          <w:rFonts w:asciiTheme="minorHAnsi" w:hAnsiTheme="minorHAnsi" w:cstheme="minorHAnsi"/>
        </w:rPr>
        <w:t>144/2020 y su acumulada 185/2020</w:t>
      </w:r>
      <w:r w:rsidR="004E5AD6" w:rsidRPr="00CB3A01">
        <w:rPr>
          <w:rFonts w:asciiTheme="minorHAnsi" w:hAnsiTheme="minorHAnsi" w:cstheme="minorHAnsi"/>
        </w:rPr>
        <w:t xml:space="preserve">, </w:t>
      </w:r>
      <w:r w:rsidR="00D978B7" w:rsidRPr="00CB3A01">
        <w:rPr>
          <w:rFonts w:asciiTheme="minorHAnsi" w:hAnsiTheme="minorHAnsi" w:cstheme="minorHAnsi"/>
        </w:rPr>
        <w:t>mediante la que se declaró la invalidez del penúltimo párrafo del artículo 145 del Código Civil del Estado de Veracruz de Ignacio de la Llave.</w:t>
      </w:r>
    </w:p>
    <w:p w14:paraId="18B2CD56" w14:textId="77777777" w:rsidR="008528B5" w:rsidRPr="00CB3A01" w:rsidRDefault="008528B5" w:rsidP="0014221D">
      <w:pPr>
        <w:jc w:val="both"/>
        <w:rPr>
          <w:rFonts w:asciiTheme="minorHAnsi" w:hAnsiTheme="minorHAnsi" w:cstheme="minorHAnsi"/>
        </w:rPr>
      </w:pPr>
    </w:p>
    <w:p w14:paraId="71DEB63F" w14:textId="77777777" w:rsidR="00382E95" w:rsidRPr="00CB3A01" w:rsidRDefault="00382E95" w:rsidP="0014221D">
      <w:pPr>
        <w:jc w:val="both"/>
        <w:rPr>
          <w:rFonts w:asciiTheme="minorHAnsi" w:hAnsiTheme="minorHAnsi" w:cstheme="minorHAnsi"/>
        </w:rPr>
      </w:pPr>
    </w:p>
    <w:p w14:paraId="0A7BD750" w14:textId="4F9BD0DA" w:rsidR="00382E95" w:rsidRPr="00CB3A01" w:rsidRDefault="00382E95" w:rsidP="00203F06">
      <w:pPr>
        <w:pStyle w:val="Prrafodelista"/>
        <w:numPr>
          <w:ilvl w:val="0"/>
          <w:numId w:val="38"/>
        </w:numPr>
        <w:jc w:val="both"/>
        <w:rPr>
          <w:rFonts w:asciiTheme="minorHAnsi" w:hAnsiTheme="minorHAnsi" w:cstheme="minorHAnsi"/>
          <w:b/>
          <w:bCs/>
          <w:lang w:val="es-ES_tradnl"/>
        </w:rPr>
      </w:pPr>
      <w:r w:rsidRPr="00CB3A01">
        <w:rPr>
          <w:rFonts w:asciiTheme="minorHAnsi" w:hAnsiTheme="minorHAnsi" w:cstheme="minorHAnsi"/>
          <w:b/>
          <w:bCs/>
          <w:lang w:val="es-ES_tradnl"/>
        </w:rPr>
        <w:t xml:space="preserve">CONTEXTO ACTUAL DEL </w:t>
      </w:r>
      <w:r w:rsidR="00203F06" w:rsidRPr="00CB3A01">
        <w:rPr>
          <w:rFonts w:asciiTheme="minorHAnsi" w:hAnsiTheme="minorHAnsi" w:cstheme="minorHAnsi"/>
          <w:b/>
          <w:bCs/>
          <w:lang w:val="es-ES_tradnl"/>
        </w:rPr>
        <w:t xml:space="preserve">TEMA A </w:t>
      </w:r>
      <w:r w:rsidRPr="00CB3A01">
        <w:rPr>
          <w:rFonts w:asciiTheme="minorHAnsi" w:hAnsiTheme="minorHAnsi" w:cstheme="minorHAnsi"/>
          <w:b/>
          <w:bCs/>
          <w:lang w:val="es-ES_tradnl"/>
        </w:rPr>
        <w:t>CO</w:t>
      </w:r>
      <w:r w:rsidR="00393F02">
        <w:rPr>
          <w:rFonts w:asciiTheme="minorHAnsi" w:hAnsiTheme="minorHAnsi" w:cstheme="minorHAnsi"/>
          <w:b/>
          <w:bCs/>
          <w:lang w:val="es-ES_tradnl"/>
        </w:rPr>
        <w:t>N</w:t>
      </w:r>
      <w:r w:rsidRPr="00CB3A01">
        <w:rPr>
          <w:rFonts w:asciiTheme="minorHAnsi" w:hAnsiTheme="minorHAnsi" w:cstheme="minorHAnsi"/>
          <w:b/>
          <w:bCs/>
          <w:lang w:val="es-ES_tradnl"/>
        </w:rPr>
        <w:t>SULTA</w:t>
      </w:r>
      <w:r w:rsidR="00203F06" w:rsidRPr="00CB3A01">
        <w:rPr>
          <w:rFonts w:asciiTheme="minorHAnsi" w:hAnsiTheme="minorHAnsi" w:cstheme="minorHAnsi"/>
          <w:b/>
          <w:bCs/>
          <w:lang w:val="es-ES_tradnl"/>
        </w:rPr>
        <w:t>RSE</w:t>
      </w:r>
      <w:r w:rsidRPr="00CB3A01">
        <w:rPr>
          <w:rFonts w:asciiTheme="minorHAnsi" w:hAnsiTheme="minorHAnsi" w:cstheme="minorHAnsi"/>
          <w:b/>
          <w:bCs/>
          <w:lang w:val="es-ES_tradnl"/>
        </w:rPr>
        <w:t>.</w:t>
      </w:r>
    </w:p>
    <w:p w14:paraId="776A723C" w14:textId="77777777" w:rsidR="00D371F3" w:rsidRPr="00CB3A01" w:rsidRDefault="00D371F3" w:rsidP="0014221D">
      <w:pPr>
        <w:ind w:firstLine="284"/>
        <w:jc w:val="both"/>
        <w:rPr>
          <w:rFonts w:asciiTheme="minorHAnsi" w:hAnsiTheme="minorHAnsi" w:cstheme="minorHAnsi"/>
          <w:b/>
          <w:bCs/>
          <w:lang w:val="es-ES_tradnl"/>
        </w:rPr>
      </w:pPr>
    </w:p>
    <w:p w14:paraId="4E335E08" w14:textId="4ACF38B2" w:rsidR="00EC6069" w:rsidRPr="00CB3A01" w:rsidRDefault="008528B5" w:rsidP="0014221D">
      <w:pPr>
        <w:jc w:val="both"/>
        <w:rPr>
          <w:rFonts w:asciiTheme="minorHAnsi" w:hAnsiTheme="minorHAnsi" w:cstheme="minorHAnsi"/>
        </w:rPr>
      </w:pPr>
      <w:r w:rsidRPr="00CB3A01">
        <w:rPr>
          <w:rFonts w:asciiTheme="minorHAnsi" w:hAnsiTheme="minorHAnsi" w:cstheme="minorHAnsi"/>
        </w:rPr>
        <w:t xml:space="preserve">La materia de la </w:t>
      </w:r>
      <w:r w:rsidR="003076A2" w:rsidRPr="00CB3A01">
        <w:rPr>
          <w:rFonts w:asciiTheme="minorHAnsi" w:hAnsiTheme="minorHAnsi" w:cstheme="minorHAnsi"/>
        </w:rPr>
        <w:t xml:space="preserve">presente </w:t>
      </w:r>
      <w:r w:rsidRPr="00CB3A01">
        <w:rPr>
          <w:rFonts w:asciiTheme="minorHAnsi" w:hAnsiTheme="minorHAnsi" w:cstheme="minorHAnsi"/>
        </w:rPr>
        <w:t xml:space="preserve">Consulta es el contenido </w:t>
      </w:r>
      <w:r w:rsidR="00EC6069" w:rsidRPr="00CB3A01">
        <w:rPr>
          <w:rFonts w:asciiTheme="minorHAnsi" w:hAnsiTheme="minorHAnsi" w:cstheme="minorHAnsi"/>
        </w:rPr>
        <w:t xml:space="preserve">del artículo 145, penúltimo párrafo, del </w:t>
      </w:r>
      <w:bookmarkStart w:id="1" w:name="_Hlk163218594"/>
      <w:r w:rsidR="00EC6069" w:rsidRPr="00CB3A01">
        <w:rPr>
          <w:rFonts w:asciiTheme="minorHAnsi" w:hAnsiTheme="minorHAnsi" w:cstheme="minorHAnsi"/>
        </w:rPr>
        <w:t>Código Civil del Estado de Veracruz</w:t>
      </w:r>
      <w:bookmarkEnd w:id="1"/>
      <w:r w:rsidR="00862CE2" w:rsidRPr="00CB3A01">
        <w:rPr>
          <w:rFonts w:asciiTheme="minorHAnsi" w:hAnsiTheme="minorHAnsi" w:cstheme="minorHAnsi"/>
        </w:rPr>
        <w:t xml:space="preserve">, que </w:t>
      </w:r>
      <w:r w:rsidR="00382E95" w:rsidRPr="00CB3A01">
        <w:rPr>
          <w:rFonts w:asciiTheme="minorHAnsi" w:hAnsiTheme="minorHAnsi" w:cstheme="minorHAnsi"/>
        </w:rPr>
        <w:t xml:space="preserve">actualmente </w:t>
      </w:r>
      <w:r w:rsidR="00862CE2" w:rsidRPr="00CB3A01">
        <w:rPr>
          <w:rFonts w:asciiTheme="minorHAnsi" w:hAnsiTheme="minorHAnsi" w:cstheme="minorHAnsi"/>
        </w:rPr>
        <w:t xml:space="preserve">señala lo siguiente: </w:t>
      </w:r>
    </w:p>
    <w:p w14:paraId="5D95FE54" w14:textId="77777777" w:rsidR="00862CE2" w:rsidRPr="00CB3A01" w:rsidRDefault="00862CE2" w:rsidP="0014221D">
      <w:pPr>
        <w:jc w:val="both"/>
        <w:rPr>
          <w:rFonts w:asciiTheme="minorHAnsi" w:hAnsiTheme="minorHAnsi" w:cstheme="minorHAnsi"/>
        </w:rPr>
      </w:pPr>
    </w:p>
    <w:p w14:paraId="48D31D6B" w14:textId="2BBB80D4" w:rsidR="00862CE2" w:rsidRPr="00CB3A01" w:rsidRDefault="00862CE2" w:rsidP="0014221D">
      <w:pPr>
        <w:ind w:left="851" w:right="996"/>
        <w:jc w:val="both"/>
        <w:rPr>
          <w:rFonts w:asciiTheme="minorHAnsi" w:hAnsiTheme="minorHAnsi" w:cstheme="minorHAnsi"/>
          <w:b/>
          <w:bCs/>
        </w:rPr>
      </w:pPr>
      <w:r w:rsidRPr="00CB3A01">
        <w:rPr>
          <w:rFonts w:asciiTheme="minorHAnsi" w:hAnsiTheme="minorHAnsi" w:cstheme="minorHAnsi"/>
          <w:b/>
          <w:bCs/>
        </w:rPr>
        <w:t>ARTICULO 145…</w:t>
      </w:r>
    </w:p>
    <w:p w14:paraId="5B7AC128" w14:textId="20EA1F23" w:rsidR="00862CE2" w:rsidRPr="00CB3A01" w:rsidRDefault="00862CE2" w:rsidP="0014221D">
      <w:pPr>
        <w:ind w:left="851" w:right="996"/>
        <w:jc w:val="both"/>
        <w:rPr>
          <w:rFonts w:asciiTheme="minorHAnsi" w:hAnsiTheme="minorHAnsi" w:cstheme="minorHAnsi"/>
        </w:rPr>
      </w:pPr>
      <w:r w:rsidRPr="00CB3A01">
        <w:rPr>
          <w:rFonts w:asciiTheme="minorHAnsi" w:hAnsiTheme="minorHAnsi" w:cstheme="minorHAnsi"/>
        </w:rPr>
        <w:t>…</w:t>
      </w:r>
    </w:p>
    <w:p w14:paraId="6BF84D72" w14:textId="2F5726A0" w:rsidR="00862CE2" w:rsidRPr="00CB3A01" w:rsidRDefault="00862CE2" w:rsidP="0014221D">
      <w:pPr>
        <w:ind w:left="851" w:right="996"/>
        <w:jc w:val="both"/>
        <w:rPr>
          <w:rFonts w:asciiTheme="minorHAnsi" w:hAnsiTheme="minorHAnsi" w:cstheme="minorHAnsi"/>
        </w:rPr>
      </w:pPr>
      <w:r w:rsidRPr="00CB3A01">
        <w:rPr>
          <w:rFonts w:asciiTheme="minorHAnsi" w:hAnsiTheme="minorHAnsi" w:cstheme="minorHAnsi"/>
        </w:rPr>
        <w:t>…</w:t>
      </w:r>
    </w:p>
    <w:p w14:paraId="4B7C111C" w14:textId="2433DEB2" w:rsidR="00862CE2" w:rsidRPr="00CB3A01" w:rsidRDefault="00862CE2" w:rsidP="0014221D">
      <w:pPr>
        <w:ind w:left="851" w:right="996"/>
        <w:jc w:val="both"/>
        <w:rPr>
          <w:rFonts w:asciiTheme="minorHAnsi" w:hAnsiTheme="minorHAnsi" w:cstheme="minorHAnsi"/>
        </w:rPr>
      </w:pPr>
      <w:r w:rsidRPr="00CB3A01">
        <w:rPr>
          <w:rFonts w:asciiTheme="minorHAnsi" w:hAnsiTheme="minorHAnsi" w:cstheme="minorHAnsi"/>
        </w:rPr>
        <w:t>…</w:t>
      </w:r>
    </w:p>
    <w:p w14:paraId="2BEBB17B" w14:textId="16F49026" w:rsidR="00862CE2" w:rsidRPr="00CB3A01" w:rsidRDefault="00862CE2" w:rsidP="0014221D">
      <w:pPr>
        <w:ind w:left="851" w:right="996"/>
        <w:jc w:val="both"/>
        <w:rPr>
          <w:rFonts w:asciiTheme="minorHAnsi" w:hAnsiTheme="minorHAnsi" w:cstheme="minorHAnsi"/>
        </w:rPr>
      </w:pPr>
      <w:r w:rsidRPr="00CB3A01">
        <w:rPr>
          <w:rFonts w:asciiTheme="minorHAnsi" w:hAnsiTheme="minorHAnsi" w:cstheme="minorHAnsi"/>
        </w:rPr>
        <w:t>…</w:t>
      </w:r>
    </w:p>
    <w:p w14:paraId="2FBA8119" w14:textId="3E24772E" w:rsidR="00862CE2" w:rsidRPr="00CB3A01" w:rsidRDefault="00862CE2" w:rsidP="0014221D">
      <w:pPr>
        <w:ind w:left="851" w:right="996"/>
        <w:jc w:val="both"/>
        <w:rPr>
          <w:rFonts w:asciiTheme="minorHAnsi" w:hAnsiTheme="minorHAnsi" w:cstheme="minorHAnsi"/>
        </w:rPr>
      </w:pPr>
      <w:r w:rsidRPr="00CB3A01">
        <w:rPr>
          <w:rFonts w:asciiTheme="minorHAnsi" w:hAnsiTheme="minorHAnsi" w:cstheme="minorHAnsi"/>
        </w:rPr>
        <w:t>…</w:t>
      </w:r>
    </w:p>
    <w:p w14:paraId="2AFBEDAB" w14:textId="77777777" w:rsidR="002077CC" w:rsidRPr="00CB3A01" w:rsidRDefault="002077CC" w:rsidP="0014221D">
      <w:pPr>
        <w:ind w:left="851" w:right="996"/>
        <w:jc w:val="both"/>
        <w:rPr>
          <w:rFonts w:asciiTheme="minorHAnsi" w:hAnsiTheme="minorHAnsi" w:cstheme="minorHAnsi"/>
        </w:rPr>
      </w:pPr>
    </w:p>
    <w:p w14:paraId="0E0AB303" w14:textId="630A735D" w:rsidR="00037FCE" w:rsidRDefault="00862CE2" w:rsidP="00062636">
      <w:pPr>
        <w:ind w:left="851" w:right="996"/>
        <w:jc w:val="both"/>
        <w:rPr>
          <w:rFonts w:asciiTheme="minorHAnsi" w:hAnsiTheme="minorHAnsi" w:cstheme="minorHAnsi"/>
          <w:b/>
          <w:bCs/>
        </w:rPr>
      </w:pPr>
      <w:r w:rsidRPr="00CB3A01">
        <w:rPr>
          <w:rFonts w:asciiTheme="minorHAnsi" w:hAnsiTheme="minorHAnsi" w:cstheme="minorHAnsi"/>
          <w:b/>
          <w:bCs/>
        </w:rPr>
        <w:t>Para el caso de mayores con discapacidad, bajo tutela de excónyuges, en la sentencia de divorcio deberán establecerse las medidas a que se refiere este artículo para su protección;</w:t>
      </w:r>
      <w:r w:rsidR="00AD09D4" w:rsidRPr="00CB3A01">
        <w:rPr>
          <w:rFonts w:asciiTheme="minorHAnsi" w:hAnsiTheme="minorHAnsi" w:cstheme="minorHAnsi"/>
          <w:b/>
          <w:bCs/>
        </w:rPr>
        <w:t xml:space="preserve"> </w:t>
      </w:r>
      <w:r w:rsidR="00062636" w:rsidRPr="00CB3A01">
        <w:rPr>
          <w:rFonts w:asciiTheme="minorHAnsi" w:hAnsiTheme="minorHAnsi" w:cstheme="minorHAnsi"/>
          <w:b/>
          <w:bCs/>
        </w:rPr>
        <w:t>asimismo, la sentencia de divorcio establecerá la reparación del daño en caso de violencia familiar contra cualquiera de las personas integrantes de la familia.</w:t>
      </w:r>
    </w:p>
    <w:p w14:paraId="27A80C32" w14:textId="2A22B4ED" w:rsidR="00393F02" w:rsidRPr="00CB3A01" w:rsidRDefault="00393F02" w:rsidP="00062636">
      <w:pPr>
        <w:ind w:left="851" w:right="996"/>
        <w:jc w:val="both"/>
        <w:rPr>
          <w:rFonts w:asciiTheme="minorHAnsi" w:hAnsiTheme="minorHAnsi" w:cstheme="minorHAnsi"/>
          <w:b/>
          <w:bCs/>
        </w:rPr>
      </w:pPr>
      <w:r>
        <w:rPr>
          <w:rFonts w:asciiTheme="minorHAnsi" w:hAnsiTheme="minorHAnsi" w:cstheme="minorHAnsi"/>
          <w:b/>
          <w:bCs/>
        </w:rPr>
        <w:t>…</w:t>
      </w:r>
    </w:p>
    <w:p w14:paraId="7620E534" w14:textId="77777777" w:rsidR="00062636" w:rsidRPr="00CB3A01" w:rsidRDefault="00062636" w:rsidP="002077CC">
      <w:pPr>
        <w:ind w:left="851" w:right="996"/>
        <w:jc w:val="both"/>
        <w:rPr>
          <w:rFonts w:asciiTheme="minorHAnsi" w:hAnsiTheme="minorHAnsi" w:cstheme="minorHAnsi"/>
          <w:b/>
          <w:bCs/>
        </w:rPr>
      </w:pPr>
    </w:p>
    <w:p w14:paraId="3C8DAFB7" w14:textId="27AB9D45" w:rsidR="007E0801" w:rsidRPr="00CB3A01" w:rsidRDefault="008979EE" w:rsidP="0014221D">
      <w:pPr>
        <w:jc w:val="both"/>
        <w:rPr>
          <w:rFonts w:asciiTheme="minorHAnsi" w:hAnsiTheme="minorHAnsi" w:cstheme="minorHAnsi"/>
        </w:rPr>
      </w:pPr>
      <w:r w:rsidRPr="00CB3A01">
        <w:rPr>
          <w:rFonts w:asciiTheme="minorHAnsi" w:hAnsiTheme="minorHAnsi" w:cstheme="minorHAnsi"/>
        </w:rPr>
        <w:t xml:space="preserve">Para hacer un análisis </w:t>
      </w:r>
      <w:r w:rsidR="00AD09D4" w:rsidRPr="00CB3A01">
        <w:rPr>
          <w:rFonts w:asciiTheme="minorHAnsi" w:hAnsiTheme="minorHAnsi" w:cstheme="minorHAnsi"/>
        </w:rPr>
        <w:t xml:space="preserve">integral de este párrafo, es necesario brindar el contexto actual en el que </w:t>
      </w:r>
      <w:r w:rsidR="008C33A3" w:rsidRPr="00CB3A01">
        <w:rPr>
          <w:rFonts w:asciiTheme="minorHAnsi" w:hAnsiTheme="minorHAnsi" w:cstheme="minorHAnsi"/>
        </w:rPr>
        <w:t xml:space="preserve">el régimen de </w:t>
      </w:r>
      <w:r w:rsidR="00227F7A" w:rsidRPr="00CB3A01">
        <w:rPr>
          <w:rFonts w:asciiTheme="minorHAnsi" w:hAnsiTheme="minorHAnsi" w:cstheme="minorHAnsi"/>
        </w:rPr>
        <w:t xml:space="preserve">interdicción </w:t>
      </w:r>
      <w:r w:rsidR="004A1F0B" w:rsidRPr="00CB3A01">
        <w:rPr>
          <w:rFonts w:asciiTheme="minorHAnsi" w:hAnsiTheme="minorHAnsi" w:cstheme="minorHAnsi"/>
        </w:rPr>
        <w:t>en el ámbito jurídico de nuestro país</w:t>
      </w:r>
      <w:r w:rsidR="008C33A3" w:rsidRPr="00CB3A01">
        <w:rPr>
          <w:rFonts w:asciiTheme="minorHAnsi" w:hAnsiTheme="minorHAnsi" w:cstheme="minorHAnsi"/>
        </w:rPr>
        <w:t xml:space="preserve"> fue declarado </w:t>
      </w:r>
      <w:r w:rsidR="004A1F0B" w:rsidRPr="00CB3A01">
        <w:rPr>
          <w:rFonts w:asciiTheme="minorHAnsi" w:hAnsiTheme="minorHAnsi" w:cstheme="minorHAnsi"/>
        </w:rPr>
        <w:t xml:space="preserve">como </w:t>
      </w:r>
      <w:r w:rsidR="00102E0B" w:rsidRPr="00CB3A01">
        <w:rPr>
          <w:rFonts w:asciiTheme="minorHAnsi" w:hAnsiTheme="minorHAnsi" w:cstheme="minorHAnsi"/>
        </w:rPr>
        <w:t>i</w:t>
      </w:r>
      <w:r w:rsidR="004A1F0B" w:rsidRPr="00CB3A01">
        <w:rPr>
          <w:rFonts w:asciiTheme="minorHAnsi" w:hAnsiTheme="minorHAnsi" w:cstheme="minorHAnsi"/>
        </w:rPr>
        <w:t xml:space="preserve">nconstitucional </w:t>
      </w:r>
      <w:r w:rsidR="006E21C3" w:rsidRPr="00CB3A01">
        <w:rPr>
          <w:rFonts w:asciiTheme="minorHAnsi" w:hAnsiTheme="minorHAnsi" w:cstheme="minorHAnsi"/>
        </w:rPr>
        <w:t>por la Suprema Corte</w:t>
      </w:r>
      <w:r w:rsidR="00227F7A" w:rsidRPr="00CB3A01">
        <w:rPr>
          <w:rFonts w:asciiTheme="minorHAnsi" w:hAnsiTheme="minorHAnsi" w:cstheme="minorHAnsi"/>
        </w:rPr>
        <w:t xml:space="preserve"> desde el 13 de marzo de 2019</w:t>
      </w:r>
      <w:r w:rsidR="00393F02">
        <w:rPr>
          <w:rFonts w:asciiTheme="minorHAnsi" w:hAnsiTheme="minorHAnsi" w:cstheme="minorHAnsi"/>
        </w:rPr>
        <w:t>,</w:t>
      </w:r>
      <w:r w:rsidR="00227F7A" w:rsidRPr="00CB3A01">
        <w:rPr>
          <w:rFonts w:asciiTheme="minorHAnsi" w:hAnsiTheme="minorHAnsi" w:cstheme="minorHAnsi"/>
        </w:rPr>
        <w:t xml:space="preserve"> mediante su Amparo en Revisión 1368/</w:t>
      </w:r>
      <w:proofErr w:type="gramStart"/>
      <w:r w:rsidR="00227F7A" w:rsidRPr="00CB3A01">
        <w:rPr>
          <w:rFonts w:asciiTheme="minorHAnsi" w:hAnsiTheme="minorHAnsi" w:cstheme="minorHAnsi"/>
        </w:rPr>
        <w:t xml:space="preserve">2015 </w:t>
      </w:r>
      <w:proofErr w:type="gramEnd"/>
      <w:r w:rsidR="00437C29" w:rsidRPr="00CB3A01">
        <w:rPr>
          <w:rStyle w:val="Refdenotaalpie"/>
          <w:rFonts w:asciiTheme="minorHAnsi" w:hAnsiTheme="minorHAnsi" w:cstheme="minorHAnsi"/>
        </w:rPr>
        <w:footnoteReference w:id="1"/>
      </w:r>
      <w:r w:rsidR="007E0801" w:rsidRPr="00CB3A01">
        <w:rPr>
          <w:rFonts w:asciiTheme="minorHAnsi" w:hAnsiTheme="minorHAnsi" w:cstheme="minorHAnsi"/>
        </w:rPr>
        <w:t>.</w:t>
      </w:r>
    </w:p>
    <w:p w14:paraId="5AE31969" w14:textId="77777777" w:rsidR="00C15C96" w:rsidRPr="00CB3A01" w:rsidRDefault="00C15C96" w:rsidP="0014221D">
      <w:pPr>
        <w:jc w:val="both"/>
        <w:rPr>
          <w:rFonts w:asciiTheme="minorHAnsi" w:hAnsiTheme="minorHAnsi" w:cstheme="minorHAnsi"/>
        </w:rPr>
      </w:pPr>
    </w:p>
    <w:p w14:paraId="283BAE5C" w14:textId="408E869E" w:rsidR="00227F7A" w:rsidRPr="00CB3A01" w:rsidRDefault="007E0801" w:rsidP="0014221D">
      <w:pPr>
        <w:jc w:val="both"/>
        <w:rPr>
          <w:rFonts w:asciiTheme="minorHAnsi" w:hAnsiTheme="minorHAnsi" w:cstheme="minorHAnsi"/>
        </w:rPr>
      </w:pPr>
      <w:r w:rsidRPr="00CB3A01">
        <w:rPr>
          <w:rFonts w:asciiTheme="minorHAnsi" w:hAnsiTheme="minorHAnsi" w:cstheme="minorHAnsi"/>
        </w:rPr>
        <w:t>Lo anterior motiv</w:t>
      </w:r>
      <w:r w:rsidR="00227F7A" w:rsidRPr="00CB3A01">
        <w:rPr>
          <w:rFonts w:asciiTheme="minorHAnsi" w:hAnsiTheme="minorHAnsi" w:cstheme="minorHAnsi"/>
        </w:rPr>
        <w:t>ó, entre otras cuestiones, que el nuevo Código Nacional de Procedimientos Civiles y Familiares</w:t>
      </w:r>
      <w:r w:rsidR="00125C9F" w:rsidRPr="00CB3A01">
        <w:rPr>
          <w:rFonts w:asciiTheme="minorHAnsi" w:hAnsiTheme="minorHAnsi" w:cstheme="minorHAnsi"/>
        </w:rPr>
        <w:t xml:space="preserve"> (CNPCF)</w:t>
      </w:r>
      <w:r w:rsidR="00227F7A" w:rsidRPr="00CB3A01">
        <w:rPr>
          <w:rFonts w:asciiTheme="minorHAnsi" w:hAnsiTheme="minorHAnsi" w:cstheme="minorHAnsi"/>
        </w:rPr>
        <w:t xml:space="preserve">, </w:t>
      </w:r>
      <w:r w:rsidR="00D61D9B" w:rsidRPr="00CB3A01">
        <w:rPr>
          <w:rFonts w:asciiTheme="minorHAnsi" w:hAnsiTheme="minorHAnsi" w:cstheme="minorHAnsi"/>
        </w:rPr>
        <w:t xml:space="preserve">publicado en el Diario Oficial de la Federación </w:t>
      </w:r>
      <w:r w:rsidR="00227F7A" w:rsidRPr="00CB3A01">
        <w:rPr>
          <w:rFonts w:asciiTheme="minorHAnsi" w:hAnsiTheme="minorHAnsi" w:cstheme="minorHAnsi"/>
        </w:rPr>
        <w:t>el 7 de junio de</w:t>
      </w:r>
      <w:r w:rsidR="00861868" w:rsidRPr="00CB3A01">
        <w:rPr>
          <w:rFonts w:asciiTheme="minorHAnsi" w:hAnsiTheme="minorHAnsi" w:cstheme="minorHAnsi"/>
        </w:rPr>
        <w:t>l</w:t>
      </w:r>
      <w:r w:rsidR="00227F7A" w:rsidRPr="00CB3A01">
        <w:rPr>
          <w:rFonts w:asciiTheme="minorHAnsi" w:hAnsiTheme="minorHAnsi" w:cstheme="minorHAnsi"/>
        </w:rPr>
        <w:t xml:space="preserve"> 2023, </w:t>
      </w:r>
      <w:r w:rsidR="00393F02">
        <w:rPr>
          <w:rFonts w:asciiTheme="minorHAnsi" w:hAnsiTheme="minorHAnsi" w:cstheme="minorHAnsi"/>
        </w:rPr>
        <w:lastRenderedPageBreak/>
        <w:t>las</w:t>
      </w:r>
      <w:r w:rsidR="00227F7A" w:rsidRPr="00CB3A01">
        <w:rPr>
          <w:rFonts w:asciiTheme="minorHAnsi" w:hAnsiTheme="minorHAnsi" w:cstheme="minorHAnsi"/>
        </w:rPr>
        <w:t xml:space="preserve"> haya suprimido del </w:t>
      </w:r>
      <w:r w:rsidRPr="00CB3A01">
        <w:rPr>
          <w:rFonts w:asciiTheme="minorHAnsi" w:hAnsiTheme="minorHAnsi" w:cstheme="minorHAnsi"/>
        </w:rPr>
        <w:t>mismo Código</w:t>
      </w:r>
      <w:r w:rsidRPr="00CB3A01">
        <w:rPr>
          <w:rStyle w:val="Refdenotaalpie"/>
          <w:rFonts w:asciiTheme="minorHAnsi" w:hAnsiTheme="minorHAnsi" w:cstheme="minorHAnsi"/>
        </w:rPr>
        <w:footnoteReference w:id="2"/>
      </w:r>
      <w:r w:rsidRPr="00CB3A01">
        <w:rPr>
          <w:rFonts w:asciiTheme="minorHAnsi" w:hAnsiTheme="minorHAnsi" w:cstheme="minorHAnsi"/>
        </w:rPr>
        <w:t xml:space="preserve"> y las haya sustituido por un sistema de apoyos para el ejercicio de la capacidad jurídica (artículos 445 al 455)</w:t>
      </w:r>
      <w:r w:rsidR="00125C9F" w:rsidRPr="00CB3A01">
        <w:rPr>
          <w:rFonts w:asciiTheme="minorHAnsi" w:hAnsiTheme="minorHAnsi" w:cstheme="minorHAnsi"/>
        </w:rPr>
        <w:t>.</w:t>
      </w:r>
      <w:r w:rsidR="00227F7A" w:rsidRPr="00CB3A01">
        <w:rPr>
          <w:rFonts w:asciiTheme="minorHAnsi" w:hAnsiTheme="minorHAnsi" w:cstheme="minorHAnsi"/>
        </w:rPr>
        <w:t xml:space="preserve"> </w:t>
      </w:r>
    </w:p>
    <w:p w14:paraId="0EF42740" w14:textId="77777777" w:rsidR="00C15C96" w:rsidRPr="00CB3A01" w:rsidRDefault="00C15C96" w:rsidP="0014221D">
      <w:pPr>
        <w:jc w:val="both"/>
        <w:rPr>
          <w:rFonts w:asciiTheme="minorHAnsi" w:hAnsiTheme="minorHAnsi" w:cstheme="minorHAnsi"/>
        </w:rPr>
      </w:pPr>
    </w:p>
    <w:p w14:paraId="32C98818" w14:textId="0FDDC749" w:rsidR="00437C29" w:rsidRPr="00CB3A01" w:rsidRDefault="00125C9F" w:rsidP="0014221D">
      <w:pPr>
        <w:jc w:val="both"/>
        <w:rPr>
          <w:rFonts w:asciiTheme="minorHAnsi" w:hAnsiTheme="minorHAnsi" w:cstheme="minorHAnsi"/>
        </w:rPr>
      </w:pPr>
      <w:r w:rsidRPr="00CB3A01">
        <w:rPr>
          <w:rFonts w:asciiTheme="minorHAnsi" w:hAnsiTheme="minorHAnsi" w:cstheme="minorHAnsi"/>
        </w:rPr>
        <w:t>Para hacer armónica esta disposición en todo el país, mediante s</w:t>
      </w:r>
      <w:r w:rsidR="00227F7A" w:rsidRPr="00CB3A01">
        <w:rPr>
          <w:rFonts w:asciiTheme="minorHAnsi" w:hAnsiTheme="minorHAnsi" w:cstheme="minorHAnsi"/>
        </w:rPr>
        <w:t>u Artículo Transitorio Segundo</w:t>
      </w:r>
      <w:r w:rsidRPr="00CB3A01">
        <w:rPr>
          <w:rFonts w:asciiTheme="minorHAnsi" w:hAnsiTheme="minorHAnsi" w:cstheme="minorHAnsi"/>
        </w:rPr>
        <w:t xml:space="preserve">, el </w:t>
      </w:r>
      <w:r w:rsidR="00393F02">
        <w:rPr>
          <w:rFonts w:asciiTheme="minorHAnsi" w:hAnsiTheme="minorHAnsi" w:cstheme="minorHAnsi"/>
        </w:rPr>
        <w:t xml:space="preserve">Código Nacional de Procedimientos </w:t>
      </w:r>
      <w:r w:rsidR="00393F02" w:rsidRPr="00393F02">
        <w:rPr>
          <w:rFonts w:ascii="Calibri" w:hAnsi="Calibri" w:cs="Calibri"/>
        </w:rPr>
        <w:t>Civiles</w:t>
      </w:r>
      <w:r w:rsidR="00393F02">
        <w:rPr>
          <w:rFonts w:ascii="Calibri" w:hAnsi="Calibri" w:cs="Calibri"/>
        </w:rPr>
        <w:t xml:space="preserve"> y Familiares</w:t>
      </w:r>
      <w:r w:rsidR="00393F02" w:rsidRPr="00393F02">
        <w:rPr>
          <w:rFonts w:ascii="Calibri" w:hAnsi="Calibri" w:cs="Calibri"/>
        </w:rPr>
        <w:t xml:space="preserve"> </w:t>
      </w:r>
      <w:r w:rsidR="00393F02">
        <w:rPr>
          <w:rFonts w:ascii="Calibri" w:hAnsi="Calibri" w:cs="Calibri"/>
        </w:rPr>
        <w:t>(</w:t>
      </w:r>
      <w:proofErr w:type="spellStart"/>
      <w:r w:rsidR="00393F02" w:rsidRPr="00393F02">
        <w:rPr>
          <w:rFonts w:ascii="Calibri" w:hAnsi="Calibri" w:cs="Calibri"/>
          <w:color w:val="040C28"/>
        </w:rPr>
        <w:t>CNPCyF</w:t>
      </w:r>
      <w:proofErr w:type="spellEnd"/>
      <w:r w:rsidR="00393F02">
        <w:rPr>
          <w:rFonts w:ascii="Calibri" w:hAnsi="Calibri" w:cs="Calibri"/>
          <w:color w:val="040C28"/>
        </w:rPr>
        <w:t>),</w:t>
      </w:r>
      <w:r w:rsidR="00227F7A" w:rsidRPr="00CB3A01">
        <w:rPr>
          <w:rFonts w:asciiTheme="minorHAnsi" w:hAnsiTheme="minorHAnsi" w:cstheme="minorHAnsi"/>
        </w:rPr>
        <w:t xml:space="preserve"> </w:t>
      </w:r>
      <w:r w:rsidR="00C15C96" w:rsidRPr="00CB3A01">
        <w:rPr>
          <w:rFonts w:asciiTheme="minorHAnsi" w:hAnsiTheme="minorHAnsi" w:cstheme="minorHAnsi"/>
        </w:rPr>
        <w:t xml:space="preserve">dispuso que su entrada en vigor en las Entidades Federativas sería de forma gradual, pero sin que la misma pueda exceder del 1o. de abril del 2027, debiendo modificarse todas las leyes locales que se opongan a estos estándares. </w:t>
      </w:r>
    </w:p>
    <w:p w14:paraId="0923E63C" w14:textId="0DAB8390" w:rsidR="00633110" w:rsidRPr="00CB3A01" w:rsidRDefault="006C0C5C" w:rsidP="0014221D">
      <w:pPr>
        <w:jc w:val="both"/>
        <w:rPr>
          <w:rFonts w:asciiTheme="minorHAnsi" w:hAnsiTheme="minorHAnsi" w:cstheme="minorHAnsi"/>
        </w:rPr>
      </w:pPr>
      <w:r w:rsidRPr="00CB3A01">
        <w:rPr>
          <w:rFonts w:asciiTheme="minorHAnsi" w:hAnsiTheme="minorHAnsi" w:cstheme="minorHAnsi"/>
          <w:b/>
          <w:bCs/>
        </w:rPr>
        <w:t>Sobre la Tutela y la Interdicción.</w:t>
      </w:r>
    </w:p>
    <w:p w14:paraId="440CB28E" w14:textId="77777777" w:rsidR="00C7596A" w:rsidRPr="00CB3A01" w:rsidRDefault="00C7596A" w:rsidP="0014221D">
      <w:pPr>
        <w:jc w:val="both"/>
        <w:rPr>
          <w:rFonts w:asciiTheme="minorHAnsi" w:hAnsiTheme="minorHAnsi" w:cstheme="minorHAnsi"/>
        </w:rPr>
      </w:pPr>
    </w:p>
    <w:p w14:paraId="228503D4" w14:textId="2F03E8F4" w:rsidR="002E6C3C" w:rsidRPr="00CB3A01" w:rsidRDefault="00437C29" w:rsidP="0014221D">
      <w:pPr>
        <w:jc w:val="both"/>
        <w:rPr>
          <w:rFonts w:asciiTheme="minorHAnsi" w:hAnsiTheme="minorHAnsi" w:cstheme="minorHAnsi"/>
        </w:rPr>
      </w:pPr>
      <w:r w:rsidRPr="00CB3A01">
        <w:rPr>
          <w:rFonts w:asciiTheme="minorHAnsi" w:hAnsiTheme="minorHAnsi" w:cstheme="minorHAnsi"/>
        </w:rPr>
        <w:t>La tutela e interdicción son conceptos jurídicos relacionados con la capacidad legal de las personas, particularmente aquellas que puedan tener alguna discapacidad mental o intelectual. La tutela es un sistema legal mediante el cual una persona (llamada tutor) es designada para tomar decisiones en nombre de otra persona que no puede hacerlo por sí misma debido a su incapacidad</w:t>
      </w:r>
      <w:r w:rsidR="00C15C96" w:rsidRPr="00CB3A01">
        <w:rPr>
          <w:rFonts w:asciiTheme="minorHAnsi" w:hAnsiTheme="minorHAnsi" w:cstheme="minorHAnsi"/>
        </w:rPr>
        <w:t>, lo cual aplica efectivamente para menores de 18 años, pero no después de esa edad</w:t>
      </w:r>
      <w:r w:rsidR="008F2FF4" w:rsidRPr="00CB3A01">
        <w:rPr>
          <w:rFonts w:asciiTheme="minorHAnsi" w:hAnsiTheme="minorHAnsi" w:cstheme="minorHAnsi"/>
        </w:rPr>
        <w:t>, pues al alcanzarse la mayoría de edad, se adquiere a plenitud la capacidad de goce y ejercicio de todos los derechos</w:t>
      </w:r>
      <w:r w:rsidRPr="00CB3A01">
        <w:rPr>
          <w:rFonts w:asciiTheme="minorHAnsi" w:hAnsiTheme="minorHAnsi" w:cstheme="minorHAnsi"/>
        </w:rPr>
        <w:t xml:space="preserve">. </w:t>
      </w:r>
    </w:p>
    <w:p w14:paraId="52DD4DDB" w14:textId="77777777" w:rsidR="002E6C3C" w:rsidRPr="00CB3A01" w:rsidRDefault="002E6C3C" w:rsidP="0014221D">
      <w:pPr>
        <w:jc w:val="both"/>
        <w:rPr>
          <w:rFonts w:asciiTheme="minorHAnsi" w:hAnsiTheme="minorHAnsi" w:cstheme="minorHAnsi"/>
        </w:rPr>
      </w:pPr>
    </w:p>
    <w:p w14:paraId="5DE61023" w14:textId="50727AC9" w:rsidR="00BC6E9E" w:rsidRPr="00CB3A01" w:rsidRDefault="00437C29" w:rsidP="0014221D">
      <w:pPr>
        <w:jc w:val="both"/>
        <w:rPr>
          <w:rFonts w:asciiTheme="minorHAnsi" w:hAnsiTheme="minorHAnsi" w:cstheme="minorHAnsi"/>
        </w:rPr>
      </w:pPr>
      <w:r w:rsidRPr="00CB3A01">
        <w:rPr>
          <w:rFonts w:asciiTheme="minorHAnsi" w:hAnsiTheme="minorHAnsi" w:cstheme="minorHAnsi"/>
        </w:rPr>
        <w:t xml:space="preserve">Por otro lado, la interdicción es un proceso legal mediante el cual se declara que una persona </w:t>
      </w:r>
      <w:r w:rsidR="00C15C96" w:rsidRPr="00CB3A01">
        <w:rPr>
          <w:rFonts w:asciiTheme="minorHAnsi" w:hAnsiTheme="minorHAnsi" w:cstheme="minorHAnsi"/>
        </w:rPr>
        <w:t xml:space="preserve">mayor de edad </w:t>
      </w:r>
      <w:r w:rsidRPr="00CB3A01">
        <w:rPr>
          <w:rFonts w:asciiTheme="minorHAnsi" w:hAnsiTheme="minorHAnsi" w:cstheme="minorHAnsi"/>
        </w:rPr>
        <w:t>es incapaz de cuidar de sí misma o de administrar sus propios asuntos, y se nombra a otra persona para que tome decisiones en su nombre.</w:t>
      </w:r>
      <w:r w:rsidR="00B1754E" w:rsidRPr="00CB3A01">
        <w:rPr>
          <w:rFonts w:asciiTheme="minorHAnsi" w:hAnsiTheme="minorHAnsi" w:cstheme="minorHAnsi"/>
        </w:rPr>
        <w:t xml:space="preserve"> </w:t>
      </w:r>
    </w:p>
    <w:p w14:paraId="7F9BD4D4" w14:textId="1B8E1E83" w:rsidR="00BB5E91" w:rsidRPr="00CB3A01" w:rsidRDefault="00BB5E91" w:rsidP="0014221D">
      <w:pPr>
        <w:jc w:val="both"/>
        <w:rPr>
          <w:rFonts w:asciiTheme="minorHAnsi" w:hAnsiTheme="minorHAnsi" w:cstheme="minorHAnsi"/>
        </w:rPr>
      </w:pPr>
      <w:r w:rsidRPr="00CB3A01">
        <w:rPr>
          <w:rFonts w:asciiTheme="minorHAnsi" w:hAnsiTheme="minorHAnsi" w:cstheme="minorHAnsi"/>
        </w:rPr>
        <w:t>El estado de interdicción parte de una premisa de sustitución de voluntad, paternalista y asistencialista que no reconoce derechos humanos</w:t>
      </w:r>
      <w:r w:rsidR="002E6C3C" w:rsidRPr="00CB3A01">
        <w:rPr>
          <w:rFonts w:asciiTheme="minorHAnsi" w:hAnsiTheme="minorHAnsi" w:cstheme="minorHAnsi"/>
        </w:rPr>
        <w:t xml:space="preserve">, ya que </w:t>
      </w:r>
      <w:r w:rsidRPr="00CB3A01">
        <w:rPr>
          <w:rFonts w:asciiTheme="minorHAnsi" w:hAnsiTheme="minorHAnsi" w:cstheme="minorHAnsi"/>
        </w:rPr>
        <w:t xml:space="preserve">en lugar de buscar que la propia persona con discapacidad adopte sus decisiones, se designa a un tutor para que adopte las decisiones legales de </w:t>
      </w:r>
      <w:r w:rsidR="002E6C3C" w:rsidRPr="00CB3A01">
        <w:rPr>
          <w:rFonts w:asciiTheme="minorHAnsi" w:hAnsiTheme="minorHAnsi" w:cstheme="minorHAnsi"/>
        </w:rPr>
        <w:t>est</w:t>
      </w:r>
      <w:r w:rsidRPr="00CB3A01">
        <w:rPr>
          <w:rFonts w:asciiTheme="minorHAnsi" w:hAnsiTheme="minorHAnsi" w:cstheme="minorHAnsi"/>
        </w:rPr>
        <w:t xml:space="preserve">a persona.  </w:t>
      </w:r>
    </w:p>
    <w:p w14:paraId="47AA0315" w14:textId="77777777" w:rsidR="0043419F" w:rsidRPr="00CB3A01" w:rsidRDefault="0043419F" w:rsidP="0014221D">
      <w:pPr>
        <w:jc w:val="both"/>
        <w:rPr>
          <w:rFonts w:asciiTheme="minorHAnsi" w:hAnsiTheme="minorHAnsi" w:cstheme="minorHAnsi"/>
        </w:rPr>
      </w:pPr>
    </w:p>
    <w:p w14:paraId="5C8883FC" w14:textId="344A1FC9" w:rsidR="00BC6E9E" w:rsidRPr="00CB3A01" w:rsidRDefault="00861868" w:rsidP="0014221D">
      <w:pPr>
        <w:jc w:val="both"/>
        <w:rPr>
          <w:rFonts w:asciiTheme="minorHAnsi" w:hAnsiTheme="minorHAnsi" w:cstheme="minorHAnsi"/>
        </w:rPr>
      </w:pPr>
      <w:r w:rsidRPr="00CB3A01">
        <w:rPr>
          <w:rFonts w:asciiTheme="minorHAnsi" w:hAnsiTheme="minorHAnsi" w:cstheme="minorHAnsi"/>
        </w:rPr>
        <w:t>Esto significa que, e</w:t>
      </w:r>
      <w:r w:rsidR="00BC6E9E" w:rsidRPr="00CB3A01">
        <w:rPr>
          <w:rFonts w:asciiTheme="minorHAnsi" w:hAnsiTheme="minorHAnsi" w:cstheme="minorHAnsi"/>
        </w:rPr>
        <w:t>n lugar de conseguir la plena inclusión de las personas con discapacidad, el estado de interdicción, al prever la restricción absoluta de la capacidad de ejercicio,</w:t>
      </w:r>
      <w:r w:rsidR="002E6C3C" w:rsidRPr="00CB3A01">
        <w:rPr>
          <w:rFonts w:asciiTheme="minorHAnsi" w:hAnsiTheme="minorHAnsi" w:cstheme="minorHAnsi"/>
        </w:rPr>
        <w:t xml:space="preserve"> las </w:t>
      </w:r>
      <w:r w:rsidR="00BC6E9E" w:rsidRPr="00CB3A01">
        <w:rPr>
          <w:rFonts w:asciiTheme="minorHAnsi" w:hAnsiTheme="minorHAnsi" w:cstheme="minorHAnsi"/>
        </w:rPr>
        <w:t>invisibiliza y excluye, pues no les permite conducirse con autonomía e interactuar con los demás grupos, personas e intereses que componen la sociedad, por lo que refuerza los estigmas y estereotipos</w:t>
      </w:r>
      <w:r w:rsidRPr="00CB3A01">
        <w:rPr>
          <w:rFonts w:asciiTheme="minorHAnsi" w:hAnsiTheme="minorHAnsi" w:cstheme="minorHAnsi"/>
        </w:rPr>
        <w:t xml:space="preserve"> en contra de este grupo de la población</w:t>
      </w:r>
      <w:r w:rsidR="00BC6E9E" w:rsidRPr="00CB3A01">
        <w:rPr>
          <w:rFonts w:asciiTheme="minorHAnsi" w:hAnsiTheme="minorHAnsi" w:cstheme="minorHAnsi"/>
        </w:rPr>
        <w:t>.</w:t>
      </w:r>
    </w:p>
    <w:p w14:paraId="7033E9A7" w14:textId="77777777" w:rsidR="00BC6E9E" w:rsidRPr="00CB3A01" w:rsidRDefault="00BC6E9E" w:rsidP="0014221D">
      <w:pPr>
        <w:jc w:val="both"/>
        <w:rPr>
          <w:rFonts w:asciiTheme="minorHAnsi" w:hAnsiTheme="minorHAnsi" w:cstheme="minorHAnsi"/>
        </w:rPr>
      </w:pPr>
    </w:p>
    <w:p w14:paraId="293ECFE9" w14:textId="7BF512D2" w:rsidR="00437C29" w:rsidRPr="00CB3A01" w:rsidRDefault="00437C29" w:rsidP="0014221D">
      <w:pPr>
        <w:jc w:val="both"/>
        <w:rPr>
          <w:rFonts w:asciiTheme="minorHAnsi" w:hAnsiTheme="minorHAnsi" w:cstheme="minorHAnsi"/>
        </w:rPr>
      </w:pPr>
      <w:r w:rsidRPr="00CB3A01">
        <w:rPr>
          <w:rFonts w:asciiTheme="minorHAnsi" w:hAnsiTheme="minorHAnsi" w:cstheme="minorHAnsi"/>
        </w:rPr>
        <w:t xml:space="preserve">El argumento </w:t>
      </w:r>
      <w:r w:rsidR="005E1ACE" w:rsidRPr="00CB3A01">
        <w:rPr>
          <w:rFonts w:asciiTheme="minorHAnsi" w:hAnsiTheme="minorHAnsi" w:cstheme="minorHAnsi"/>
        </w:rPr>
        <w:t xml:space="preserve">de la Suprema Corte </w:t>
      </w:r>
      <w:r w:rsidR="00C15C96" w:rsidRPr="00CB3A01">
        <w:rPr>
          <w:rFonts w:asciiTheme="minorHAnsi" w:hAnsiTheme="minorHAnsi" w:cstheme="minorHAnsi"/>
        </w:rPr>
        <w:t xml:space="preserve">para </w:t>
      </w:r>
      <w:r w:rsidRPr="00CB3A01">
        <w:rPr>
          <w:rFonts w:asciiTheme="minorHAnsi" w:hAnsiTheme="minorHAnsi" w:cstheme="minorHAnsi"/>
        </w:rPr>
        <w:t>declara</w:t>
      </w:r>
      <w:r w:rsidR="00C15C96" w:rsidRPr="00CB3A01">
        <w:rPr>
          <w:rFonts w:asciiTheme="minorHAnsi" w:hAnsiTheme="minorHAnsi" w:cstheme="minorHAnsi"/>
        </w:rPr>
        <w:t xml:space="preserve">r </w:t>
      </w:r>
      <w:r w:rsidRPr="00CB3A01">
        <w:rPr>
          <w:rFonts w:asciiTheme="minorHAnsi" w:hAnsiTheme="minorHAnsi" w:cstheme="minorHAnsi"/>
        </w:rPr>
        <w:t xml:space="preserve">como </w:t>
      </w:r>
      <w:r w:rsidR="0043419F" w:rsidRPr="00CB3A01">
        <w:rPr>
          <w:rFonts w:asciiTheme="minorHAnsi" w:hAnsiTheme="minorHAnsi" w:cstheme="minorHAnsi"/>
        </w:rPr>
        <w:t>in</w:t>
      </w:r>
      <w:r w:rsidRPr="00CB3A01">
        <w:rPr>
          <w:rFonts w:asciiTheme="minorHAnsi" w:hAnsiTheme="minorHAnsi" w:cstheme="minorHAnsi"/>
        </w:rPr>
        <w:t>constitucional</w:t>
      </w:r>
      <w:r w:rsidR="008F75CD" w:rsidRPr="00CB3A01">
        <w:rPr>
          <w:rFonts w:asciiTheme="minorHAnsi" w:hAnsiTheme="minorHAnsi" w:cstheme="minorHAnsi"/>
        </w:rPr>
        <w:t xml:space="preserve"> el régimen de interdicción</w:t>
      </w:r>
      <w:r w:rsidR="006C0C5C" w:rsidRPr="00CB3A01">
        <w:rPr>
          <w:rFonts w:asciiTheme="minorHAnsi" w:hAnsiTheme="minorHAnsi" w:cstheme="minorHAnsi"/>
        </w:rPr>
        <w:t xml:space="preserve"> se </w:t>
      </w:r>
      <w:r w:rsidR="005E1ACE" w:rsidRPr="00CB3A01">
        <w:rPr>
          <w:rFonts w:asciiTheme="minorHAnsi" w:hAnsiTheme="minorHAnsi" w:cstheme="minorHAnsi"/>
        </w:rPr>
        <w:t xml:space="preserve">basa en </w:t>
      </w:r>
      <w:r w:rsidRPr="00CB3A01">
        <w:rPr>
          <w:rFonts w:asciiTheme="minorHAnsi" w:hAnsiTheme="minorHAnsi" w:cstheme="minorHAnsi"/>
        </w:rPr>
        <w:t>un</w:t>
      </w:r>
      <w:r w:rsidR="00C15C96" w:rsidRPr="00CB3A01">
        <w:rPr>
          <w:rFonts w:asciiTheme="minorHAnsi" w:hAnsiTheme="minorHAnsi" w:cstheme="minorHAnsi"/>
        </w:rPr>
        <w:t xml:space="preserve">a </w:t>
      </w:r>
      <w:r w:rsidR="005E1ACE" w:rsidRPr="00CB3A01">
        <w:rPr>
          <w:rFonts w:asciiTheme="minorHAnsi" w:hAnsiTheme="minorHAnsi" w:cstheme="minorHAnsi"/>
        </w:rPr>
        <w:t xml:space="preserve">clara </w:t>
      </w:r>
      <w:r w:rsidR="00C15C96" w:rsidRPr="00CB3A01">
        <w:rPr>
          <w:rFonts w:asciiTheme="minorHAnsi" w:hAnsiTheme="minorHAnsi" w:cstheme="minorHAnsi"/>
        </w:rPr>
        <w:t xml:space="preserve">evolución </w:t>
      </w:r>
      <w:r w:rsidRPr="00CB3A01">
        <w:rPr>
          <w:rFonts w:asciiTheme="minorHAnsi" w:hAnsiTheme="minorHAnsi" w:cstheme="minorHAnsi"/>
        </w:rPr>
        <w:t xml:space="preserve">en la interpretación </w:t>
      </w:r>
      <w:r w:rsidR="006C0C5C" w:rsidRPr="00CB3A01">
        <w:rPr>
          <w:rFonts w:asciiTheme="minorHAnsi" w:hAnsiTheme="minorHAnsi" w:cstheme="minorHAnsi"/>
        </w:rPr>
        <w:t>d</w:t>
      </w:r>
      <w:r w:rsidRPr="00CB3A01">
        <w:rPr>
          <w:rFonts w:asciiTheme="minorHAnsi" w:hAnsiTheme="minorHAnsi" w:cstheme="minorHAnsi"/>
        </w:rPr>
        <w:t xml:space="preserve">e los derechos humanos </w:t>
      </w:r>
      <w:r w:rsidR="006C0C5C" w:rsidRPr="00CB3A01">
        <w:rPr>
          <w:rFonts w:asciiTheme="minorHAnsi" w:hAnsiTheme="minorHAnsi" w:cstheme="minorHAnsi"/>
        </w:rPr>
        <w:t xml:space="preserve">de las personas con discapacidad, </w:t>
      </w:r>
      <w:r w:rsidR="00393F02">
        <w:rPr>
          <w:rFonts w:asciiTheme="minorHAnsi" w:hAnsiTheme="minorHAnsi" w:cstheme="minorHAnsi"/>
        </w:rPr>
        <w:t>conforme a</w:t>
      </w:r>
      <w:r w:rsidR="006C0C5C" w:rsidRPr="00CB3A01">
        <w:rPr>
          <w:rFonts w:asciiTheme="minorHAnsi" w:hAnsiTheme="minorHAnsi" w:cstheme="minorHAnsi"/>
        </w:rPr>
        <w:t xml:space="preserve"> los estándares internacionales</w:t>
      </w:r>
      <w:r w:rsidR="005E1ACE" w:rsidRPr="00CB3A01">
        <w:rPr>
          <w:rFonts w:asciiTheme="minorHAnsi" w:hAnsiTheme="minorHAnsi" w:cstheme="minorHAnsi"/>
        </w:rPr>
        <w:t xml:space="preserve"> en materia de derechos humanos</w:t>
      </w:r>
      <w:r w:rsidR="006C0C5C" w:rsidRPr="00CB3A01">
        <w:rPr>
          <w:rFonts w:asciiTheme="minorHAnsi" w:hAnsiTheme="minorHAnsi" w:cstheme="minorHAnsi"/>
        </w:rPr>
        <w:t xml:space="preserve">, como </w:t>
      </w:r>
      <w:r w:rsidR="005E1ACE" w:rsidRPr="00CB3A01">
        <w:rPr>
          <w:rFonts w:asciiTheme="minorHAnsi" w:hAnsiTheme="minorHAnsi" w:cstheme="minorHAnsi"/>
        </w:rPr>
        <w:t>los pr</w:t>
      </w:r>
      <w:r w:rsidR="00CE3593" w:rsidRPr="00CB3A01">
        <w:rPr>
          <w:rFonts w:asciiTheme="minorHAnsi" w:hAnsiTheme="minorHAnsi" w:cstheme="minorHAnsi"/>
        </w:rPr>
        <w:t>e</w:t>
      </w:r>
      <w:r w:rsidR="005E1ACE" w:rsidRPr="00CB3A01">
        <w:rPr>
          <w:rFonts w:asciiTheme="minorHAnsi" w:hAnsiTheme="minorHAnsi" w:cstheme="minorHAnsi"/>
        </w:rPr>
        <w:t xml:space="preserve">vistos por </w:t>
      </w:r>
      <w:r w:rsidR="006C0C5C" w:rsidRPr="00CB3A01">
        <w:rPr>
          <w:rFonts w:asciiTheme="minorHAnsi" w:hAnsiTheme="minorHAnsi" w:cstheme="minorHAnsi"/>
        </w:rPr>
        <w:t>la Convención sobre los Derechos de las Personas con Discapacidad de</w:t>
      </w:r>
      <w:r w:rsidR="00393F02">
        <w:rPr>
          <w:rFonts w:asciiTheme="minorHAnsi" w:hAnsiTheme="minorHAnsi" w:cstheme="minorHAnsi"/>
        </w:rPr>
        <w:t xml:space="preserve"> las</w:t>
      </w:r>
      <w:r w:rsidR="006C0C5C" w:rsidRPr="00CB3A01">
        <w:rPr>
          <w:rFonts w:asciiTheme="minorHAnsi" w:hAnsiTheme="minorHAnsi" w:cstheme="minorHAnsi"/>
        </w:rPr>
        <w:t xml:space="preserve"> Naciones Unidas (CDPD), </w:t>
      </w:r>
      <w:r w:rsidR="005E1ACE" w:rsidRPr="00CB3A01">
        <w:rPr>
          <w:rFonts w:asciiTheme="minorHAnsi" w:hAnsiTheme="minorHAnsi" w:cstheme="minorHAnsi"/>
        </w:rPr>
        <w:t xml:space="preserve">la cual </w:t>
      </w:r>
      <w:r w:rsidR="006C0C5C" w:rsidRPr="00CB3A01">
        <w:rPr>
          <w:rFonts w:asciiTheme="minorHAnsi" w:hAnsiTheme="minorHAnsi" w:cstheme="minorHAnsi"/>
        </w:rPr>
        <w:t xml:space="preserve">establece en su artículo 12 que las personas con discapacidad </w:t>
      </w:r>
      <w:r w:rsidR="006C0C5C" w:rsidRPr="00CB3A01">
        <w:rPr>
          <w:rFonts w:asciiTheme="minorHAnsi" w:hAnsiTheme="minorHAnsi" w:cstheme="minorHAnsi"/>
        </w:rPr>
        <w:lastRenderedPageBreak/>
        <w:t xml:space="preserve">tienen derecho a ejercer su capacidad jurídica en igualdad de condiciones con los demás, </w:t>
      </w:r>
      <w:r w:rsidR="00887E50" w:rsidRPr="00CB3A01">
        <w:rPr>
          <w:rFonts w:asciiTheme="minorHAnsi" w:hAnsiTheme="minorHAnsi" w:cstheme="minorHAnsi"/>
        </w:rPr>
        <w:t>pudiendo para ello contar c</w:t>
      </w:r>
      <w:r w:rsidR="00393F02">
        <w:rPr>
          <w:rFonts w:asciiTheme="minorHAnsi" w:hAnsiTheme="minorHAnsi" w:cstheme="minorHAnsi"/>
        </w:rPr>
        <w:t>on distintos sistemas de apoyos y</w:t>
      </w:r>
      <w:r w:rsidR="00887E50" w:rsidRPr="00CB3A01">
        <w:rPr>
          <w:rFonts w:asciiTheme="minorHAnsi" w:hAnsiTheme="minorHAnsi" w:cstheme="minorHAnsi"/>
        </w:rPr>
        <w:t xml:space="preserve"> ayudas </w:t>
      </w:r>
      <w:r w:rsidR="00393F02">
        <w:rPr>
          <w:rFonts w:asciiTheme="minorHAnsi" w:hAnsiTheme="minorHAnsi" w:cstheme="minorHAnsi"/>
        </w:rPr>
        <w:t>para la toma de decisiones;</w:t>
      </w:r>
      <w:r w:rsidR="00887E50" w:rsidRPr="00CB3A01">
        <w:rPr>
          <w:rFonts w:asciiTheme="minorHAnsi" w:hAnsiTheme="minorHAnsi" w:cstheme="minorHAnsi"/>
        </w:rPr>
        <w:t xml:space="preserve"> </w:t>
      </w:r>
      <w:r w:rsidR="006C0C5C" w:rsidRPr="00CB3A01">
        <w:rPr>
          <w:rFonts w:asciiTheme="minorHAnsi" w:hAnsiTheme="minorHAnsi" w:cstheme="minorHAnsi"/>
        </w:rPr>
        <w:t>por lo tanto, los sistemas de tutela e interdicción que niegan este derecho, se considera</w:t>
      </w:r>
      <w:r w:rsidR="00C715C6" w:rsidRPr="00CB3A01">
        <w:rPr>
          <w:rFonts w:asciiTheme="minorHAnsi" w:hAnsiTheme="minorHAnsi" w:cstheme="minorHAnsi"/>
        </w:rPr>
        <w:t>n</w:t>
      </w:r>
      <w:r w:rsidR="006C0C5C" w:rsidRPr="00CB3A01">
        <w:rPr>
          <w:rFonts w:asciiTheme="minorHAnsi" w:hAnsiTheme="minorHAnsi" w:cstheme="minorHAnsi"/>
        </w:rPr>
        <w:t xml:space="preserve"> contrarios a los principios de igualdad y no discriminación consagrados en la </w:t>
      </w:r>
      <w:r w:rsidR="003F0252" w:rsidRPr="00CB3A01">
        <w:rPr>
          <w:rFonts w:asciiTheme="minorHAnsi" w:hAnsiTheme="minorHAnsi" w:cstheme="minorHAnsi"/>
        </w:rPr>
        <w:t>Carta Magna</w:t>
      </w:r>
      <w:r w:rsidR="007E386C" w:rsidRPr="00CB3A01">
        <w:rPr>
          <w:rStyle w:val="Refdenotaalpie"/>
          <w:rFonts w:asciiTheme="minorHAnsi" w:hAnsiTheme="minorHAnsi" w:cstheme="minorHAnsi"/>
        </w:rPr>
        <w:footnoteReference w:id="3"/>
      </w:r>
      <w:r w:rsidR="006C0C5C" w:rsidRPr="00CB3A01">
        <w:rPr>
          <w:rFonts w:asciiTheme="minorHAnsi" w:hAnsiTheme="minorHAnsi" w:cstheme="minorHAnsi"/>
        </w:rPr>
        <w:t>.</w:t>
      </w:r>
    </w:p>
    <w:p w14:paraId="3298095A" w14:textId="77777777" w:rsidR="00FB75A8" w:rsidRPr="00CB3A01" w:rsidRDefault="00FB75A8" w:rsidP="0014221D">
      <w:pPr>
        <w:jc w:val="both"/>
        <w:rPr>
          <w:rFonts w:asciiTheme="minorHAnsi" w:hAnsiTheme="minorHAnsi" w:cstheme="minorHAnsi"/>
          <w:b/>
          <w:bCs/>
        </w:rPr>
      </w:pPr>
    </w:p>
    <w:p w14:paraId="7BFBA10B" w14:textId="6FC9FA66" w:rsidR="006C0C5C" w:rsidRPr="00CB3A01" w:rsidRDefault="00FB75A8" w:rsidP="0014221D">
      <w:pPr>
        <w:jc w:val="both"/>
        <w:rPr>
          <w:rFonts w:asciiTheme="minorHAnsi" w:hAnsiTheme="minorHAnsi" w:cstheme="minorHAnsi"/>
          <w:b/>
          <w:bCs/>
        </w:rPr>
      </w:pPr>
      <w:r w:rsidRPr="00CB3A01">
        <w:rPr>
          <w:rFonts w:asciiTheme="minorHAnsi" w:hAnsiTheme="minorHAnsi" w:cstheme="minorHAnsi"/>
          <w:b/>
          <w:bCs/>
        </w:rPr>
        <w:t>Sobre el Modelo Social de la Discapacidad.</w:t>
      </w:r>
    </w:p>
    <w:p w14:paraId="0B593A2A" w14:textId="77777777" w:rsidR="0062487B" w:rsidRPr="00CB3A01" w:rsidRDefault="0062487B" w:rsidP="0014221D">
      <w:pPr>
        <w:jc w:val="both"/>
        <w:rPr>
          <w:rFonts w:asciiTheme="minorHAnsi" w:hAnsiTheme="minorHAnsi" w:cstheme="minorHAnsi"/>
          <w:b/>
          <w:bCs/>
        </w:rPr>
      </w:pPr>
    </w:p>
    <w:p w14:paraId="78CA9F9E" w14:textId="7C46CAEB" w:rsidR="006C0C5C" w:rsidRPr="00CB3A01" w:rsidRDefault="006C0C5C" w:rsidP="0014221D">
      <w:pPr>
        <w:jc w:val="both"/>
        <w:rPr>
          <w:rFonts w:asciiTheme="minorHAnsi" w:hAnsiTheme="minorHAnsi" w:cstheme="minorHAnsi"/>
        </w:rPr>
      </w:pPr>
      <w:r w:rsidRPr="00CB3A01">
        <w:rPr>
          <w:rFonts w:asciiTheme="minorHAnsi" w:hAnsiTheme="minorHAnsi" w:cstheme="minorHAnsi"/>
        </w:rPr>
        <w:t>La CDPD parte del Modelo Social, el cual reconoce que la discapacidad es el resultado de la</w:t>
      </w:r>
      <w:r w:rsidR="00604285" w:rsidRPr="00CB3A01">
        <w:rPr>
          <w:rFonts w:asciiTheme="minorHAnsi" w:hAnsiTheme="minorHAnsi" w:cstheme="minorHAnsi"/>
        </w:rPr>
        <w:t xml:space="preserve"> </w:t>
      </w:r>
      <w:r w:rsidRPr="00CB3A01">
        <w:rPr>
          <w:rFonts w:asciiTheme="minorHAnsi" w:hAnsiTheme="minorHAnsi" w:cstheme="minorHAnsi"/>
        </w:rPr>
        <w:t>interacción entre las personas con deficiencias y las barreras del entorno que evitan su</w:t>
      </w:r>
      <w:r w:rsidR="00604285" w:rsidRPr="00CB3A01">
        <w:rPr>
          <w:rFonts w:asciiTheme="minorHAnsi" w:hAnsiTheme="minorHAnsi" w:cstheme="minorHAnsi"/>
        </w:rPr>
        <w:t xml:space="preserve"> </w:t>
      </w:r>
      <w:r w:rsidRPr="00CB3A01">
        <w:rPr>
          <w:rFonts w:asciiTheme="minorHAnsi" w:hAnsiTheme="minorHAnsi" w:cstheme="minorHAnsi"/>
        </w:rPr>
        <w:t>participación plena y efectiva en la sociedad en igualdad de condiciones con las demás</w:t>
      </w:r>
      <w:r w:rsidR="00C335D2" w:rsidRPr="00CB3A01">
        <w:rPr>
          <w:rFonts w:asciiTheme="minorHAnsi" w:hAnsiTheme="minorHAnsi" w:cstheme="minorHAnsi"/>
        </w:rPr>
        <w:t>, por lo que</w:t>
      </w:r>
      <w:r w:rsidRPr="00CB3A01">
        <w:rPr>
          <w:rFonts w:asciiTheme="minorHAnsi" w:hAnsiTheme="minorHAnsi" w:cstheme="minorHAnsi"/>
        </w:rPr>
        <w:t>, son las barreras del entorno las que no satisfacen las necesidades</w:t>
      </w:r>
      <w:r w:rsidR="00C335D2" w:rsidRPr="00CB3A01">
        <w:rPr>
          <w:rFonts w:asciiTheme="minorHAnsi" w:hAnsiTheme="minorHAnsi" w:cstheme="minorHAnsi"/>
        </w:rPr>
        <w:t xml:space="preserve"> </w:t>
      </w:r>
      <w:r w:rsidRPr="00CB3A01">
        <w:rPr>
          <w:rFonts w:asciiTheme="minorHAnsi" w:hAnsiTheme="minorHAnsi" w:cstheme="minorHAnsi"/>
        </w:rPr>
        <w:t>de las personas con discapacidad y no su deficiencia</w:t>
      </w:r>
      <w:r w:rsidR="00CD0840" w:rsidRPr="00CB3A01">
        <w:rPr>
          <w:rStyle w:val="Refdenotaalpie"/>
          <w:rFonts w:asciiTheme="minorHAnsi" w:hAnsiTheme="minorHAnsi" w:cstheme="minorHAnsi"/>
        </w:rPr>
        <w:footnoteReference w:id="4"/>
      </w:r>
      <w:r w:rsidRPr="00CB3A01">
        <w:rPr>
          <w:rFonts w:asciiTheme="minorHAnsi" w:hAnsiTheme="minorHAnsi" w:cstheme="minorHAnsi"/>
        </w:rPr>
        <w:t>; es decir, el entorno puede ser facilitador o interponer barreras de distinto tipo.</w:t>
      </w:r>
      <w:r w:rsidR="00932AA0" w:rsidRPr="00CB3A01">
        <w:rPr>
          <w:rFonts w:asciiTheme="minorHAnsi" w:hAnsiTheme="minorHAnsi" w:cstheme="minorHAnsi"/>
        </w:rPr>
        <w:t xml:space="preserve"> Para lograr la inclusión, es determinante la eliminación de barreras de todo tipo. </w:t>
      </w:r>
    </w:p>
    <w:p w14:paraId="78651847" w14:textId="77777777" w:rsidR="006C0C5C" w:rsidRPr="00CB3A01" w:rsidRDefault="006C0C5C" w:rsidP="0014221D">
      <w:pPr>
        <w:jc w:val="both"/>
        <w:rPr>
          <w:rFonts w:asciiTheme="minorHAnsi" w:hAnsiTheme="minorHAnsi" w:cstheme="minorHAnsi"/>
        </w:rPr>
      </w:pPr>
    </w:p>
    <w:p w14:paraId="493299BB" w14:textId="55392BC1" w:rsidR="00FE73B9" w:rsidRPr="00CB3A01" w:rsidRDefault="000200D6" w:rsidP="0014221D">
      <w:pPr>
        <w:jc w:val="both"/>
        <w:rPr>
          <w:rFonts w:asciiTheme="minorHAnsi" w:hAnsiTheme="minorHAnsi" w:cstheme="minorHAnsi"/>
          <w:b/>
          <w:bCs/>
        </w:rPr>
      </w:pPr>
      <w:r w:rsidRPr="00CB3A01">
        <w:rPr>
          <w:rFonts w:asciiTheme="minorHAnsi" w:hAnsiTheme="minorHAnsi" w:cstheme="minorHAnsi"/>
          <w:b/>
          <w:bCs/>
        </w:rPr>
        <w:t>Temas por considerar</w:t>
      </w:r>
      <w:r w:rsidR="002E11D9" w:rsidRPr="00CB3A01">
        <w:rPr>
          <w:rFonts w:asciiTheme="minorHAnsi" w:hAnsiTheme="minorHAnsi" w:cstheme="minorHAnsi"/>
          <w:b/>
          <w:bCs/>
        </w:rPr>
        <w:t>.</w:t>
      </w:r>
    </w:p>
    <w:p w14:paraId="54728372" w14:textId="77777777" w:rsidR="00FE73B9" w:rsidRPr="00CB3A01" w:rsidRDefault="00FE73B9" w:rsidP="00FE73B9">
      <w:pPr>
        <w:jc w:val="both"/>
        <w:rPr>
          <w:rFonts w:asciiTheme="minorHAnsi" w:hAnsiTheme="minorHAnsi" w:cstheme="minorHAnsi"/>
        </w:rPr>
      </w:pPr>
    </w:p>
    <w:p w14:paraId="4E0FF460" w14:textId="73D93CB6" w:rsidR="00FE73B9" w:rsidRPr="00CB3A01" w:rsidRDefault="00FE73B9" w:rsidP="00FE73B9">
      <w:pPr>
        <w:jc w:val="both"/>
        <w:rPr>
          <w:rFonts w:asciiTheme="minorHAnsi" w:hAnsiTheme="minorHAnsi" w:cstheme="minorHAnsi"/>
        </w:rPr>
      </w:pPr>
      <w:r w:rsidRPr="00CB3A01">
        <w:rPr>
          <w:rFonts w:asciiTheme="minorHAnsi" w:hAnsiTheme="minorHAnsi" w:cstheme="minorHAnsi"/>
        </w:rPr>
        <w:t xml:space="preserve">Considerando lo anterior y con objeto hacer una reforma al penúltimo párrafo del artículo 145 del Código Civil del Estado de Veracruz, será necesario reflexionar sobre </w:t>
      </w:r>
      <w:r w:rsidR="003C4C75" w:rsidRPr="00CB3A01">
        <w:rPr>
          <w:rFonts w:asciiTheme="minorHAnsi" w:hAnsiTheme="minorHAnsi" w:cstheme="minorHAnsi"/>
        </w:rPr>
        <w:t>e</w:t>
      </w:r>
      <w:r w:rsidRPr="00CB3A01">
        <w:rPr>
          <w:rFonts w:asciiTheme="minorHAnsi" w:hAnsiTheme="minorHAnsi" w:cstheme="minorHAnsi"/>
        </w:rPr>
        <w:t>l</w:t>
      </w:r>
      <w:r w:rsidR="003C4C75" w:rsidRPr="00CB3A01">
        <w:rPr>
          <w:rFonts w:asciiTheme="minorHAnsi" w:hAnsiTheme="minorHAnsi" w:cstheme="minorHAnsi"/>
        </w:rPr>
        <w:t xml:space="preserve"> </w:t>
      </w:r>
      <w:r w:rsidRPr="00CB3A01">
        <w:rPr>
          <w:rFonts w:asciiTheme="minorHAnsi" w:hAnsiTheme="minorHAnsi" w:cstheme="minorHAnsi"/>
        </w:rPr>
        <w:t xml:space="preserve">siguiente tema en la Consulta: </w:t>
      </w:r>
    </w:p>
    <w:p w14:paraId="72D08A52" w14:textId="551EE91B" w:rsidR="0062487B" w:rsidRPr="00CB3A01" w:rsidRDefault="0062487B" w:rsidP="0014221D">
      <w:pPr>
        <w:jc w:val="both"/>
        <w:rPr>
          <w:rFonts w:asciiTheme="minorHAnsi" w:hAnsiTheme="minorHAnsi" w:cstheme="minorHAnsi"/>
          <w:b/>
          <w:bCs/>
        </w:rPr>
      </w:pPr>
    </w:p>
    <w:p w14:paraId="46A82407" w14:textId="22D7FFC1" w:rsidR="008979EE" w:rsidRPr="00CB3A01" w:rsidRDefault="00FE73B9" w:rsidP="00FE73B9">
      <w:pPr>
        <w:pStyle w:val="Prrafodelista"/>
        <w:numPr>
          <w:ilvl w:val="0"/>
          <w:numId w:val="36"/>
        </w:numPr>
        <w:jc w:val="both"/>
        <w:rPr>
          <w:rFonts w:asciiTheme="minorHAnsi" w:hAnsiTheme="minorHAnsi" w:cstheme="minorHAnsi"/>
          <w:b/>
          <w:bCs/>
        </w:rPr>
      </w:pPr>
      <w:r w:rsidRPr="00CB3A01">
        <w:rPr>
          <w:rFonts w:asciiTheme="minorHAnsi" w:hAnsiTheme="minorHAnsi" w:cstheme="minorHAnsi"/>
          <w:b/>
          <w:bCs/>
        </w:rPr>
        <w:t xml:space="preserve">La forma idónea de </w:t>
      </w:r>
      <w:r w:rsidR="003C4C75" w:rsidRPr="00CB3A01">
        <w:rPr>
          <w:rFonts w:asciiTheme="minorHAnsi" w:hAnsiTheme="minorHAnsi" w:cstheme="minorHAnsi"/>
          <w:b/>
          <w:bCs/>
        </w:rPr>
        <w:t xml:space="preserve">redactar el párrafo, considerando que la figura de la interdicción </w:t>
      </w:r>
      <w:r w:rsidR="00745BF3">
        <w:rPr>
          <w:rFonts w:asciiTheme="minorHAnsi" w:hAnsiTheme="minorHAnsi" w:cstheme="minorHAnsi"/>
          <w:b/>
          <w:bCs/>
        </w:rPr>
        <w:t>debe desaparecer de</w:t>
      </w:r>
      <w:bookmarkStart w:id="2" w:name="_GoBack"/>
      <w:bookmarkEnd w:id="2"/>
      <w:r w:rsidR="003C4C75" w:rsidRPr="00CB3A01">
        <w:rPr>
          <w:rFonts w:asciiTheme="minorHAnsi" w:hAnsiTheme="minorHAnsi" w:cstheme="minorHAnsi"/>
          <w:b/>
          <w:bCs/>
        </w:rPr>
        <w:t xml:space="preserve"> la legislación local.</w:t>
      </w:r>
      <w:r w:rsidRPr="00CB3A01">
        <w:rPr>
          <w:rFonts w:asciiTheme="minorHAnsi" w:hAnsiTheme="minorHAnsi" w:cstheme="minorHAnsi"/>
          <w:b/>
          <w:bCs/>
        </w:rPr>
        <w:t xml:space="preserve">  </w:t>
      </w:r>
    </w:p>
    <w:p w14:paraId="30727AF6" w14:textId="77777777" w:rsidR="00FE73B9" w:rsidRPr="00CB3A01" w:rsidRDefault="00FE73B9" w:rsidP="00FE73B9">
      <w:pPr>
        <w:pStyle w:val="Prrafodelista"/>
        <w:jc w:val="both"/>
        <w:rPr>
          <w:rFonts w:asciiTheme="minorHAnsi" w:hAnsiTheme="minorHAnsi" w:cstheme="minorHAnsi"/>
          <w:b/>
          <w:bCs/>
        </w:rPr>
      </w:pPr>
    </w:p>
    <w:p w14:paraId="0CDB424C" w14:textId="77777777" w:rsidR="00591F5C" w:rsidRPr="00CB3A01" w:rsidRDefault="00591F5C" w:rsidP="0014221D">
      <w:pPr>
        <w:jc w:val="both"/>
        <w:rPr>
          <w:rFonts w:asciiTheme="minorHAnsi" w:hAnsiTheme="minorHAnsi" w:cstheme="minorHAnsi"/>
        </w:rPr>
      </w:pPr>
    </w:p>
    <w:p w14:paraId="2EE32907" w14:textId="77777777" w:rsidR="007823E7" w:rsidRPr="00CB3A01" w:rsidRDefault="007823E7" w:rsidP="0014221D">
      <w:pPr>
        <w:jc w:val="both"/>
        <w:rPr>
          <w:rFonts w:asciiTheme="minorHAnsi" w:hAnsiTheme="minorHAnsi" w:cstheme="minorHAnsi"/>
        </w:rPr>
      </w:pPr>
    </w:p>
    <w:p w14:paraId="6B8624BF" w14:textId="09EB1DDD" w:rsidR="002C47C5" w:rsidRPr="00CB3A01" w:rsidRDefault="00203F06" w:rsidP="00203F06">
      <w:pPr>
        <w:pStyle w:val="Prrafodelista"/>
        <w:numPr>
          <w:ilvl w:val="0"/>
          <w:numId w:val="38"/>
        </w:numPr>
        <w:jc w:val="both"/>
        <w:rPr>
          <w:rFonts w:asciiTheme="minorHAnsi" w:hAnsiTheme="minorHAnsi" w:cstheme="minorHAnsi"/>
          <w:b/>
          <w:bCs/>
        </w:rPr>
      </w:pPr>
      <w:r w:rsidRPr="00CB3A01">
        <w:rPr>
          <w:rFonts w:asciiTheme="minorHAnsi" w:hAnsiTheme="minorHAnsi" w:cstheme="minorHAnsi"/>
          <w:b/>
          <w:bCs/>
        </w:rPr>
        <w:t>INFORMACIÓN DE APOYO.</w:t>
      </w:r>
    </w:p>
    <w:p w14:paraId="143CA043" w14:textId="77777777" w:rsidR="002C47C5" w:rsidRPr="00CB3A01" w:rsidRDefault="002C47C5" w:rsidP="0014221D">
      <w:pPr>
        <w:jc w:val="both"/>
        <w:rPr>
          <w:rFonts w:asciiTheme="minorHAnsi" w:hAnsiTheme="minorHAnsi" w:cstheme="minorHAnsi"/>
        </w:rPr>
      </w:pPr>
    </w:p>
    <w:p w14:paraId="57C93183" w14:textId="09399B1A" w:rsidR="002C47C5" w:rsidRPr="00CB3A01" w:rsidRDefault="00203F06" w:rsidP="0014221D">
      <w:pPr>
        <w:jc w:val="both"/>
        <w:rPr>
          <w:rFonts w:asciiTheme="minorHAnsi" w:hAnsiTheme="minorHAnsi" w:cstheme="minorHAnsi"/>
        </w:rPr>
      </w:pPr>
      <w:r w:rsidRPr="00CB3A01">
        <w:rPr>
          <w:rFonts w:asciiTheme="minorHAnsi" w:hAnsiTheme="minorHAnsi" w:cstheme="minorHAnsi"/>
        </w:rPr>
        <w:t>Se sugiere revisar los siguientes materiales de apoyo, mismos que están a disposición en el micrositio de la presente consulta</w:t>
      </w:r>
      <w:r w:rsidR="00826C89" w:rsidRPr="00CB3A01">
        <w:rPr>
          <w:rFonts w:asciiTheme="minorHAnsi" w:hAnsiTheme="minorHAnsi" w:cstheme="minorHAnsi"/>
        </w:rPr>
        <w:t xml:space="preserve"> o en los hipervínculos referidos a continuación:</w:t>
      </w:r>
    </w:p>
    <w:p w14:paraId="28B8136D" w14:textId="77777777" w:rsidR="00203F06" w:rsidRPr="00CB3A01" w:rsidRDefault="00203F06" w:rsidP="0014221D">
      <w:pPr>
        <w:jc w:val="both"/>
        <w:rPr>
          <w:rFonts w:asciiTheme="minorHAnsi" w:hAnsiTheme="minorHAnsi" w:cstheme="minorHAnsi"/>
        </w:rPr>
      </w:pPr>
    </w:p>
    <w:p w14:paraId="51B3413A" w14:textId="5EE52176" w:rsidR="00203F06" w:rsidRDefault="0032164F" w:rsidP="0032164F">
      <w:pPr>
        <w:pStyle w:val="Prrafodelista"/>
        <w:numPr>
          <w:ilvl w:val="0"/>
          <w:numId w:val="39"/>
        </w:numPr>
        <w:jc w:val="both"/>
        <w:rPr>
          <w:rFonts w:asciiTheme="minorHAnsi" w:hAnsiTheme="minorHAnsi" w:cstheme="minorHAnsi"/>
        </w:rPr>
      </w:pPr>
      <w:r w:rsidRPr="00CB3A01">
        <w:rPr>
          <w:rFonts w:asciiTheme="minorHAnsi" w:hAnsiTheme="minorHAnsi" w:cstheme="minorHAnsi"/>
        </w:rPr>
        <w:t>Acción de inconstitucionalidad 144/2020 y su acumulada 185/2020 de la Suprema Corte de Justicia de la Nación.</w:t>
      </w:r>
    </w:p>
    <w:p w14:paraId="403902B6" w14:textId="77777777" w:rsidR="00F42023" w:rsidRPr="00CB3A01" w:rsidRDefault="00F42023" w:rsidP="00F42023">
      <w:pPr>
        <w:pStyle w:val="Prrafodelista"/>
        <w:jc w:val="both"/>
        <w:rPr>
          <w:rFonts w:asciiTheme="minorHAnsi" w:hAnsiTheme="minorHAnsi" w:cstheme="minorHAnsi"/>
        </w:rPr>
      </w:pPr>
    </w:p>
    <w:p w14:paraId="3432C02C" w14:textId="69B92104" w:rsidR="0032164F" w:rsidRPr="00CB3A01" w:rsidRDefault="0032164F" w:rsidP="007A624D">
      <w:pPr>
        <w:pStyle w:val="Prrafodelista"/>
        <w:numPr>
          <w:ilvl w:val="0"/>
          <w:numId w:val="39"/>
        </w:numPr>
        <w:jc w:val="both"/>
        <w:rPr>
          <w:rFonts w:asciiTheme="minorHAnsi" w:hAnsiTheme="minorHAnsi" w:cstheme="minorHAnsi"/>
        </w:rPr>
      </w:pPr>
      <w:r w:rsidRPr="00CB3A01">
        <w:rPr>
          <w:rFonts w:asciiTheme="minorHAnsi" w:hAnsiTheme="minorHAnsi" w:cstheme="minorHAnsi"/>
        </w:rPr>
        <w:t>Síntesis de la Acción de inconstitucionalidad 144/2020 y su acumulada 185/2020 de la Suprema Corte de Justicia de la Nación.</w:t>
      </w:r>
    </w:p>
    <w:p w14:paraId="6EDD7AB3" w14:textId="77777777" w:rsidR="00F42023" w:rsidRDefault="00F42023" w:rsidP="00F42023">
      <w:pPr>
        <w:pStyle w:val="Prrafodelista"/>
        <w:jc w:val="both"/>
        <w:rPr>
          <w:rFonts w:asciiTheme="minorHAnsi" w:hAnsiTheme="minorHAnsi" w:cstheme="minorHAnsi"/>
        </w:rPr>
      </w:pPr>
    </w:p>
    <w:p w14:paraId="49796DFE" w14:textId="6629DBAD" w:rsidR="0032164F" w:rsidRPr="00CB3A01" w:rsidRDefault="008A4E5E" w:rsidP="007A624D">
      <w:pPr>
        <w:pStyle w:val="Prrafodelista"/>
        <w:numPr>
          <w:ilvl w:val="0"/>
          <w:numId w:val="39"/>
        </w:numPr>
        <w:jc w:val="both"/>
        <w:rPr>
          <w:rFonts w:asciiTheme="minorHAnsi" w:hAnsiTheme="minorHAnsi" w:cstheme="minorHAnsi"/>
        </w:rPr>
      </w:pPr>
      <w:r w:rsidRPr="00CB3A01">
        <w:rPr>
          <w:rFonts w:asciiTheme="minorHAnsi" w:hAnsiTheme="minorHAnsi" w:cstheme="minorHAnsi"/>
        </w:rPr>
        <w:t>Convención sobre los Derechos de las Personas con Discapacidad de las Naciones Unidas</w:t>
      </w:r>
      <w:r w:rsidRPr="00CB3A01">
        <w:rPr>
          <w:rStyle w:val="Refdenotaalpie"/>
          <w:rFonts w:asciiTheme="minorHAnsi" w:hAnsiTheme="minorHAnsi" w:cstheme="minorHAnsi"/>
        </w:rPr>
        <w:footnoteReference w:id="5"/>
      </w:r>
    </w:p>
    <w:p w14:paraId="4C133B73" w14:textId="68BC1660" w:rsidR="008A4E5E" w:rsidRPr="00CB3A01" w:rsidRDefault="00826C89" w:rsidP="007A624D">
      <w:pPr>
        <w:pStyle w:val="Prrafodelista"/>
        <w:numPr>
          <w:ilvl w:val="0"/>
          <w:numId w:val="39"/>
        </w:numPr>
        <w:jc w:val="both"/>
        <w:rPr>
          <w:rFonts w:asciiTheme="minorHAnsi" w:hAnsiTheme="minorHAnsi" w:cstheme="minorHAnsi"/>
        </w:rPr>
      </w:pPr>
      <w:r w:rsidRPr="00CB3A01">
        <w:rPr>
          <w:rFonts w:asciiTheme="minorHAnsi" w:hAnsiTheme="minorHAnsi" w:cstheme="minorHAnsi"/>
        </w:rPr>
        <w:lastRenderedPageBreak/>
        <w:t xml:space="preserve">Observación General </w:t>
      </w:r>
      <w:proofErr w:type="spellStart"/>
      <w:r w:rsidRPr="00CB3A01">
        <w:rPr>
          <w:rFonts w:asciiTheme="minorHAnsi" w:hAnsiTheme="minorHAnsi" w:cstheme="minorHAnsi"/>
        </w:rPr>
        <w:t>Núm</w:t>
      </w:r>
      <w:proofErr w:type="spellEnd"/>
      <w:r w:rsidRPr="00CB3A01">
        <w:rPr>
          <w:rFonts w:asciiTheme="minorHAnsi" w:hAnsiTheme="minorHAnsi" w:cstheme="minorHAnsi"/>
        </w:rPr>
        <w:t xml:space="preserve"> 1 (2014). Artículo 12: Igual reconocimiento como persona ante la ley. del Comité sobre los Derechos de las Personas con Discapacidad de las Naciones Unidas</w:t>
      </w:r>
      <w:r w:rsidRPr="00CB3A01">
        <w:rPr>
          <w:rStyle w:val="Refdenotaalpie"/>
          <w:rFonts w:asciiTheme="minorHAnsi" w:hAnsiTheme="minorHAnsi" w:cstheme="minorHAnsi"/>
        </w:rPr>
        <w:footnoteReference w:id="6"/>
      </w:r>
      <w:r w:rsidRPr="00CB3A01">
        <w:rPr>
          <w:rFonts w:asciiTheme="minorHAnsi" w:hAnsiTheme="minorHAnsi" w:cstheme="minorHAnsi"/>
        </w:rPr>
        <w:t>.</w:t>
      </w:r>
    </w:p>
    <w:p w14:paraId="590242D5" w14:textId="77777777" w:rsidR="00385A58" w:rsidRPr="00CB3A01" w:rsidRDefault="00385A58" w:rsidP="007A624D">
      <w:pPr>
        <w:pStyle w:val="Prrafodelista"/>
        <w:autoSpaceDE w:val="0"/>
        <w:autoSpaceDN w:val="0"/>
        <w:adjustRightInd w:val="0"/>
        <w:spacing w:after="200" w:line="276" w:lineRule="auto"/>
        <w:jc w:val="both"/>
        <w:rPr>
          <w:rFonts w:ascii="Calibri" w:eastAsiaTheme="minorHAnsi" w:hAnsi="Calibri" w:cs="Calibri"/>
          <w:lang w:eastAsia="en-US"/>
          <w14:ligatures w14:val="standardContextual"/>
        </w:rPr>
      </w:pPr>
    </w:p>
    <w:p w14:paraId="2D73091A" w14:textId="61DCB8F6" w:rsidR="00385A58" w:rsidRPr="00CB3A01" w:rsidRDefault="00385A58" w:rsidP="007A624D">
      <w:pPr>
        <w:pStyle w:val="Prrafodelista"/>
        <w:numPr>
          <w:ilvl w:val="0"/>
          <w:numId w:val="39"/>
        </w:numPr>
        <w:autoSpaceDE w:val="0"/>
        <w:autoSpaceDN w:val="0"/>
        <w:adjustRightInd w:val="0"/>
        <w:spacing w:after="200" w:line="276" w:lineRule="auto"/>
        <w:jc w:val="both"/>
        <w:rPr>
          <w:rFonts w:ascii="Calibri" w:eastAsiaTheme="minorHAnsi" w:hAnsi="Calibri" w:cs="Calibri"/>
          <w:lang w:eastAsia="en-US"/>
          <w14:ligatures w14:val="standardContextual"/>
        </w:rPr>
      </w:pPr>
      <w:r w:rsidRPr="00CB3A01">
        <w:rPr>
          <w:rFonts w:ascii="Calibri" w:eastAsiaTheme="minorHAnsi" w:hAnsi="Calibri" w:cs="Calibri"/>
          <w:lang w:eastAsia="en-US"/>
          <w14:ligatures w14:val="standardContextual"/>
        </w:rPr>
        <w:t>Observación General Núm. 7 (2018) sobre la participación de las personas con discapacidad, incluidos los niños y las niñas con discapacidad, a través de las organizaciones que las representan, en la aplicación y el seguimiento de la Convención, del Comité sobre los Derechos de las Personas con Discapacidad de las Naciones Unidas</w:t>
      </w:r>
      <w:r w:rsidR="007A624D" w:rsidRPr="00CB3A01">
        <w:rPr>
          <w:rStyle w:val="Refdenotaalpie"/>
          <w:rFonts w:ascii="Calibri" w:eastAsiaTheme="minorHAnsi" w:hAnsi="Calibri" w:cs="Calibri"/>
          <w:lang w:eastAsia="en-US"/>
          <w14:ligatures w14:val="standardContextual"/>
        </w:rPr>
        <w:footnoteReference w:id="7"/>
      </w:r>
      <w:r w:rsidR="007A624D" w:rsidRPr="00CB3A01">
        <w:rPr>
          <w:rFonts w:ascii="Calibri" w:eastAsiaTheme="minorHAnsi" w:hAnsi="Calibri" w:cs="Calibri"/>
          <w:lang w:eastAsia="en-US"/>
          <w14:ligatures w14:val="standardContextual"/>
        </w:rPr>
        <w:t>.</w:t>
      </w:r>
    </w:p>
    <w:p w14:paraId="178700B5" w14:textId="77777777" w:rsidR="007A624D" w:rsidRPr="00CB3A01" w:rsidRDefault="007A624D" w:rsidP="007A624D">
      <w:pPr>
        <w:pStyle w:val="Prrafodelista"/>
        <w:jc w:val="both"/>
        <w:rPr>
          <w:rFonts w:asciiTheme="minorHAnsi" w:hAnsiTheme="minorHAnsi" w:cstheme="minorHAnsi"/>
        </w:rPr>
      </w:pPr>
    </w:p>
    <w:p w14:paraId="725382F1" w14:textId="011F4E11" w:rsidR="00385A58" w:rsidRPr="00CB3A01" w:rsidRDefault="007A624D" w:rsidP="007A624D">
      <w:pPr>
        <w:pStyle w:val="Prrafodelista"/>
        <w:numPr>
          <w:ilvl w:val="0"/>
          <w:numId w:val="39"/>
        </w:numPr>
        <w:jc w:val="both"/>
        <w:rPr>
          <w:rFonts w:asciiTheme="minorHAnsi" w:hAnsiTheme="minorHAnsi" w:cstheme="minorHAnsi"/>
        </w:rPr>
      </w:pPr>
      <w:r w:rsidRPr="00CB3A01">
        <w:rPr>
          <w:rFonts w:asciiTheme="minorHAnsi" w:hAnsiTheme="minorHAnsi" w:cstheme="minorHAnsi"/>
        </w:rPr>
        <w:t>Código Civil para el Estado de Veracruz de Ignacio de la Llave, que desarrolla en su Capítulo V “Del Divorcio”, varias disposiciones referentes a esta figura jurídica, destacando en su artículo 145 la relativa a las medidas para la protección de personas con discapacidad mayores de edad que se encuentran bajo tutela de excónyuges</w:t>
      </w:r>
      <w:r w:rsidR="004D419E" w:rsidRPr="00CB3A01">
        <w:rPr>
          <w:rStyle w:val="Refdenotaalpie"/>
          <w:rFonts w:asciiTheme="minorHAnsi" w:hAnsiTheme="minorHAnsi" w:cstheme="minorHAnsi"/>
        </w:rPr>
        <w:footnoteReference w:id="8"/>
      </w:r>
      <w:r w:rsidRPr="00CB3A01">
        <w:rPr>
          <w:rFonts w:asciiTheme="minorHAnsi" w:hAnsiTheme="minorHAnsi" w:cstheme="minorHAnsi"/>
        </w:rPr>
        <w:t xml:space="preserve">.  </w:t>
      </w:r>
    </w:p>
    <w:p w14:paraId="5C7D4B20" w14:textId="77777777" w:rsidR="002C47C5" w:rsidRPr="00CB3A01" w:rsidRDefault="002C47C5" w:rsidP="007A624D">
      <w:pPr>
        <w:jc w:val="both"/>
        <w:rPr>
          <w:rFonts w:asciiTheme="minorHAnsi" w:hAnsiTheme="minorHAnsi" w:cstheme="minorHAnsi"/>
        </w:rPr>
      </w:pPr>
    </w:p>
    <w:p w14:paraId="4DB7F0FA" w14:textId="77777777" w:rsidR="002C47C5" w:rsidRPr="00CB3A01" w:rsidRDefault="002C47C5" w:rsidP="0014221D">
      <w:pPr>
        <w:jc w:val="both"/>
        <w:rPr>
          <w:rFonts w:asciiTheme="minorHAnsi" w:hAnsiTheme="minorHAnsi" w:cstheme="minorHAnsi"/>
        </w:rPr>
      </w:pPr>
    </w:p>
    <w:p w14:paraId="24A4854F" w14:textId="77777777" w:rsidR="002C47C5" w:rsidRPr="00CB3A01" w:rsidRDefault="002C47C5" w:rsidP="0014221D">
      <w:pPr>
        <w:jc w:val="both"/>
        <w:rPr>
          <w:rFonts w:asciiTheme="minorHAnsi" w:hAnsiTheme="minorHAnsi" w:cstheme="minorHAnsi"/>
        </w:rPr>
      </w:pPr>
    </w:p>
    <w:p w14:paraId="569ADD0C" w14:textId="77777777" w:rsidR="002C47C5" w:rsidRPr="00CB3A01" w:rsidRDefault="002C47C5" w:rsidP="0014221D">
      <w:pPr>
        <w:jc w:val="both"/>
        <w:rPr>
          <w:rFonts w:asciiTheme="minorHAnsi" w:hAnsiTheme="minorHAnsi" w:cstheme="minorHAnsi"/>
        </w:rPr>
      </w:pPr>
    </w:p>
    <w:p w14:paraId="0E1EFBCA" w14:textId="77777777" w:rsidR="002C47C5" w:rsidRPr="00CB3A01" w:rsidRDefault="002C47C5" w:rsidP="0014221D">
      <w:pPr>
        <w:jc w:val="both"/>
        <w:rPr>
          <w:rFonts w:asciiTheme="minorHAnsi" w:hAnsiTheme="minorHAnsi" w:cstheme="minorHAnsi"/>
        </w:rPr>
      </w:pPr>
    </w:p>
    <w:p w14:paraId="41E05EEE" w14:textId="7F952A66" w:rsidR="007823E7" w:rsidRPr="00203F06" w:rsidRDefault="00203F06" w:rsidP="00203F06">
      <w:pPr>
        <w:jc w:val="center"/>
        <w:rPr>
          <w:rFonts w:asciiTheme="minorHAnsi" w:hAnsiTheme="minorHAnsi" w:cstheme="minorHAnsi"/>
          <w:b/>
          <w:bCs/>
        </w:rPr>
      </w:pPr>
      <w:r w:rsidRPr="00CB3A01">
        <w:rPr>
          <w:rFonts w:asciiTheme="minorHAnsi" w:hAnsiTheme="minorHAnsi" w:cstheme="minorHAnsi"/>
          <w:b/>
          <w:bCs/>
        </w:rPr>
        <w:t>COMISIÓN ORGANIZADORA DE LA CONSULTA.</w:t>
      </w:r>
    </w:p>
    <w:p w14:paraId="043018D9" w14:textId="77777777" w:rsidR="007823E7" w:rsidRPr="00DC6948" w:rsidRDefault="007823E7" w:rsidP="0014221D">
      <w:pPr>
        <w:jc w:val="both"/>
        <w:rPr>
          <w:rFonts w:asciiTheme="minorHAnsi" w:hAnsiTheme="minorHAnsi" w:cstheme="minorHAnsi"/>
        </w:rPr>
      </w:pPr>
    </w:p>
    <w:p w14:paraId="16F9808D" w14:textId="77777777" w:rsidR="002C47C5" w:rsidRDefault="002C47C5" w:rsidP="00E17A4A">
      <w:pPr>
        <w:jc w:val="both"/>
        <w:rPr>
          <w:rFonts w:asciiTheme="minorHAnsi" w:hAnsiTheme="minorHAnsi" w:cstheme="minorHAnsi"/>
          <w:lang w:val="es-ES"/>
        </w:rPr>
      </w:pPr>
    </w:p>
    <w:sectPr w:rsidR="002C47C5" w:rsidSect="0080453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653CA" w14:textId="77777777" w:rsidR="002576C5" w:rsidRDefault="002576C5">
      <w:r>
        <w:separator/>
      </w:r>
    </w:p>
  </w:endnote>
  <w:endnote w:type="continuationSeparator" w:id="0">
    <w:p w14:paraId="6FC080B1" w14:textId="77777777" w:rsidR="002576C5" w:rsidRDefault="0025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13168"/>
      <w:docPartObj>
        <w:docPartGallery w:val="Page Numbers (Bottom of Page)"/>
        <w:docPartUnique/>
      </w:docPartObj>
    </w:sdtPr>
    <w:sdtEndPr/>
    <w:sdtContent>
      <w:sdt>
        <w:sdtPr>
          <w:id w:val="-1769616900"/>
          <w:docPartObj>
            <w:docPartGallery w:val="Page Numbers (Top of Page)"/>
            <w:docPartUnique/>
          </w:docPartObj>
        </w:sdtPr>
        <w:sdtEndPr/>
        <w:sdtContent>
          <w:p w14:paraId="711CEC76" w14:textId="18922D8F" w:rsidR="00582EFA" w:rsidRDefault="00582EFA">
            <w:pPr>
              <w:pStyle w:val="Piedepgina"/>
              <w:jc w:val="right"/>
            </w:pPr>
            <w:r>
              <w:rPr>
                <w:b/>
                <w:bCs/>
              </w:rPr>
              <w:fldChar w:fldCharType="begin"/>
            </w:r>
            <w:r>
              <w:rPr>
                <w:b/>
                <w:bCs/>
              </w:rPr>
              <w:instrText>PAGE</w:instrText>
            </w:r>
            <w:r>
              <w:rPr>
                <w:b/>
                <w:bCs/>
              </w:rPr>
              <w:fldChar w:fldCharType="separate"/>
            </w:r>
            <w:r w:rsidR="00745BF3">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45BF3">
              <w:rPr>
                <w:b/>
                <w:bCs/>
                <w:noProof/>
              </w:rPr>
              <w:t>5</w:t>
            </w:r>
            <w:r>
              <w:rPr>
                <w:b/>
                <w:bCs/>
              </w:rPr>
              <w:fldChar w:fldCharType="end"/>
            </w:r>
          </w:p>
        </w:sdtContent>
      </w:sdt>
    </w:sdtContent>
  </w:sdt>
  <w:p w14:paraId="0DDD48E1" w14:textId="0BB9C73B" w:rsidR="00B24B86" w:rsidRDefault="00B24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3AA3" w14:textId="77777777" w:rsidR="002576C5" w:rsidRDefault="002576C5">
      <w:r>
        <w:separator/>
      </w:r>
    </w:p>
  </w:footnote>
  <w:footnote w:type="continuationSeparator" w:id="0">
    <w:p w14:paraId="507D4D35" w14:textId="77777777" w:rsidR="002576C5" w:rsidRDefault="002576C5">
      <w:r>
        <w:continuationSeparator/>
      </w:r>
    </w:p>
  </w:footnote>
  <w:footnote w:id="1">
    <w:p w14:paraId="716CC8C6" w14:textId="4179E8C7" w:rsidR="00437C29" w:rsidRDefault="00437C29" w:rsidP="000117B1">
      <w:pPr>
        <w:pStyle w:val="Textonotapie"/>
        <w:jc w:val="both"/>
      </w:pPr>
      <w:r>
        <w:rPr>
          <w:rStyle w:val="Refdenotaalpie"/>
        </w:rPr>
        <w:footnoteRef/>
      </w:r>
      <w:r>
        <w:t xml:space="preserve"> </w:t>
      </w:r>
      <w:r w:rsidR="007E386C">
        <w:t>SCJN. Resumen del A</w:t>
      </w:r>
      <w:r w:rsidR="007E386C" w:rsidRPr="007E386C">
        <w:t>mparo en Revisión 1368/2015</w:t>
      </w:r>
      <w:r w:rsidR="007E386C">
        <w:t xml:space="preserve"> del </w:t>
      </w:r>
      <w:r w:rsidR="007E386C" w:rsidRPr="007E386C">
        <w:t>13 de marzo de 2019</w:t>
      </w:r>
      <w:r w:rsidR="007E386C">
        <w:t xml:space="preserve">. Disponible en: </w:t>
      </w:r>
      <w:hyperlink r:id="rId1" w:history="1">
        <w:r w:rsidR="007E386C" w:rsidRPr="007E386C">
          <w:rPr>
            <w:rStyle w:val="Hipervnculo"/>
          </w:rPr>
          <w:t>https://www.scjn.gob.mx/derechos-humanos/sites/default/files/sentencias-emblematicas/resumen/2020-12/Resumen%20AR1368-2015%20DGDH.pdf</w:t>
        </w:r>
      </w:hyperlink>
      <w:r>
        <w:t xml:space="preserve"> </w:t>
      </w:r>
    </w:p>
  </w:footnote>
  <w:footnote w:id="2">
    <w:p w14:paraId="75FFD8A3" w14:textId="29CA92B9" w:rsidR="007E0801" w:rsidRDefault="007E0801" w:rsidP="000117B1">
      <w:pPr>
        <w:pStyle w:val="Textonotapie"/>
        <w:jc w:val="both"/>
      </w:pPr>
      <w:r>
        <w:rPr>
          <w:rStyle w:val="Refdenotaalpie"/>
        </w:rPr>
        <w:footnoteRef/>
      </w:r>
      <w:r>
        <w:t xml:space="preserve"> </w:t>
      </w:r>
      <w:r w:rsidR="00125C9F">
        <w:t xml:space="preserve">Su </w:t>
      </w:r>
      <w:r w:rsidR="00125C9F" w:rsidRPr="00125C9F">
        <w:t xml:space="preserve">Artículo </w:t>
      </w:r>
      <w:r w:rsidR="00125C9F">
        <w:t xml:space="preserve">Transitorio </w:t>
      </w:r>
      <w:r w:rsidR="00125C9F" w:rsidRPr="00125C9F">
        <w:t>Décimo Noveno</w:t>
      </w:r>
      <w:r w:rsidR="00125C9F">
        <w:t xml:space="preserve"> señala lo siguiente: “</w:t>
      </w:r>
      <w:r w:rsidR="00125C9F" w:rsidRPr="00125C9F">
        <w:t>Se derogan todas aquellas disposiciones que</w:t>
      </w:r>
      <w:r w:rsidR="00125C9F">
        <w:t xml:space="preserve"> </w:t>
      </w:r>
      <w:r w:rsidR="00125C9F" w:rsidRPr="00125C9F">
        <w:t>establezcan procedimientos de interdicción, cuyo efecto sea restringir la capacidad jurídica de las personas mayores</w:t>
      </w:r>
      <w:r w:rsidR="00125C9F">
        <w:t xml:space="preserve"> </w:t>
      </w:r>
      <w:r w:rsidR="00125C9F" w:rsidRPr="00125C9F">
        <w:t>de 18 años, de conformidad con lo previsto por las Disposiciones Transitorias del presente Decreto</w:t>
      </w:r>
      <w:r w:rsidR="00125C9F">
        <w:t>”</w:t>
      </w:r>
      <w:r w:rsidR="00125C9F" w:rsidRPr="00125C9F">
        <w:t>.</w:t>
      </w:r>
    </w:p>
  </w:footnote>
  <w:footnote w:id="3">
    <w:p w14:paraId="2A4823BE" w14:textId="472B4E87" w:rsidR="007E386C" w:rsidRPr="00F42023" w:rsidRDefault="007E386C" w:rsidP="000117B1">
      <w:pPr>
        <w:pStyle w:val="Textonotapie"/>
        <w:jc w:val="both"/>
        <w:rPr>
          <w:lang w:val="en-US"/>
        </w:rPr>
      </w:pPr>
      <w:r>
        <w:rPr>
          <w:rStyle w:val="Refdenotaalpie"/>
        </w:rPr>
        <w:footnoteRef/>
      </w:r>
      <w:r>
        <w:t xml:space="preserve"> SCJN. Resumen del A</w:t>
      </w:r>
      <w:r w:rsidRPr="007E386C">
        <w:t>mparo en Revisión 1368/2015</w:t>
      </w:r>
      <w:r>
        <w:t xml:space="preserve">. </w:t>
      </w:r>
      <w:r w:rsidRPr="00F42023">
        <w:rPr>
          <w:i/>
          <w:iCs/>
          <w:lang w:val="en-US"/>
        </w:rPr>
        <w:t>Op.cit.</w:t>
      </w:r>
    </w:p>
  </w:footnote>
  <w:footnote w:id="4">
    <w:p w14:paraId="42E3A0B1" w14:textId="2BF7C147" w:rsidR="00CD0840" w:rsidRPr="00F42023" w:rsidRDefault="00CD0840" w:rsidP="000117B1">
      <w:pPr>
        <w:pStyle w:val="Textonotapie"/>
        <w:jc w:val="both"/>
        <w:rPr>
          <w:lang w:val="en-US"/>
        </w:rPr>
      </w:pPr>
      <w:r>
        <w:rPr>
          <w:rStyle w:val="Refdenotaalpie"/>
        </w:rPr>
        <w:footnoteRef/>
      </w:r>
      <w:r w:rsidRPr="00F42023">
        <w:rPr>
          <w:lang w:val="en-US"/>
        </w:rPr>
        <w:t xml:space="preserve"> </w:t>
      </w:r>
      <w:r w:rsidRPr="00F42023">
        <w:rPr>
          <w:i/>
          <w:iCs/>
          <w:lang w:val="en-US"/>
        </w:rPr>
        <w:t>Idem.</w:t>
      </w:r>
      <w:r w:rsidRPr="00F42023">
        <w:rPr>
          <w:lang w:val="en-US"/>
        </w:rPr>
        <w:t xml:space="preserve"> </w:t>
      </w:r>
    </w:p>
  </w:footnote>
  <w:footnote w:id="5">
    <w:p w14:paraId="3A5E6839" w14:textId="60993862" w:rsidR="008A4E5E" w:rsidRPr="00F42023" w:rsidRDefault="008A4E5E" w:rsidP="000117B1">
      <w:pPr>
        <w:pStyle w:val="Textonotapie"/>
        <w:jc w:val="both"/>
        <w:rPr>
          <w:lang w:val="en-US"/>
        </w:rPr>
      </w:pPr>
      <w:r>
        <w:rPr>
          <w:rStyle w:val="Refdenotaalpie"/>
        </w:rPr>
        <w:footnoteRef/>
      </w:r>
      <w:r w:rsidRPr="00F42023">
        <w:rPr>
          <w:lang w:val="en-US"/>
        </w:rPr>
        <w:t xml:space="preserve"> </w:t>
      </w:r>
      <w:hyperlink r:id="rId2" w:history="1">
        <w:r w:rsidRPr="00F42023">
          <w:rPr>
            <w:rStyle w:val="Hipervnculo"/>
            <w:lang w:val="en-US"/>
          </w:rPr>
          <w:t>https://www.un.org/esa/socdev/enable/documents/tccconvs.pdf</w:t>
        </w:r>
      </w:hyperlink>
      <w:r w:rsidRPr="00F42023">
        <w:rPr>
          <w:lang w:val="en-US"/>
        </w:rPr>
        <w:t xml:space="preserve"> </w:t>
      </w:r>
    </w:p>
  </w:footnote>
  <w:footnote w:id="6">
    <w:p w14:paraId="44163A90" w14:textId="0BCDBE1E" w:rsidR="00826C89" w:rsidRPr="00F42023" w:rsidRDefault="00826C89" w:rsidP="000117B1">
      <w:pPr>
        <w:pStyle w:val="Textonotapie"/>
        <w:jc w:val="both"/>
        <w:rPr>
          <w:lang w:val="en-US"/>
        </w:rPr>
      </w:pPr>
      <w:r>
        <w:rPr>
          <w:rStyle w:val="Refdenotaalpie"/>
        </w:rPr>
        <w:footnoteRef/>
      </w:r>
      <w:r w:rsidRPr="00F42023">
        <w:rPr>
          <w:lang w:val="en-US"/>
        </w:rPr>
        <w:t xml:space="preserve"> </w:t>
      </w:r>
      <w:hyperlink r:id="rId3" w:history="1">
        <w:r w:rsidRPr="00F42023">
          <w:rPr>
            <w:rStyle w:val="Hipervnculo"/>
            <w:lang w:val="en-US"/>
          </w:rPr>
          <w:t>http://www.convenciondiscapacidad.es/wp-content/uploads/2019/01/Observaci%C3%B3n-1-Art%C3%ADculo-12-Capacidad-jur%C3%ADdica.pdf</w:t>
        </w:r>
      </w:hyperlink>
      <w:r w:rsidRPr="00F42023">
        <w:rPr>
          <w:lang w:val="en-US"/>
        </w:rPr>
        <w:t xml:space="preserve"> </w:t>
      </w:r>
    </w:p>
  </w:footnote>
  <w:footnote w:id="7">
    <w:p w14:paraId="00323DFF" w14:textId="26DCD0A8" w:rsidR="007A624D" w:rsidRPr="00F42023" w:rsidRDefault="007A624D" w:rsidP="000117B1">
      <w:pPr>
        <w:pStyle w:val="Textonotapie"/>
        <w:jc w:val="both"/>
        <w:rPr>
          <w:lang w:val="en-US"/>
        </w:rPr>
      </w:pPr>
      <w:r>
        <w:rPr>
          <w:rStyle w:val="Refdenotaalpie"/>
        </w:rPr>
        <w:footnoteRef/>
      </w:r>
      <w:r w:rsidRPr="00F42023">
        <w:rPr>
          <w:lang w:val="en-US"/>
        </w:rPr>
        <w:t xml:space="preserve"> </w:t>
      </w:r>
      <w:hyperlink r:id="rId4" w:history="1">
        <w:r w:rsidRPr="00F42023">
          <w:rPr>
            <w:rStyle w:val="Hipervnculo"/>
            <w:lang w:val="en-US"/>
          </w:rPr>
          <w:t>https://documents.un.org/doc/undoc/gen/g18/336/57/pdf/g1833657.pdf?token=2kuKFnePiJxHynC5oZ&amp;fe=true</w:t>
        </w:r>
      </w:hyperlink>
      <w:r w:rsidRPr="00F42023">
        <w:rPr>
          <w:lang w:val="en-US"/>
        </w:rPr>
        <w:t xml:space="preserve"> </w:t>
      </w:r>
    </w:p>
  </w:footnote>
  <w:footnote w:id="8">
    <w:p w14:paraId="2902A2C4" w14:textId="505E04ED" w:rsidR="004D419E" w:rsidRPr="00F42023" w:rsidRDefault="004D419E" w:rsidP="000117B1">
      <w:pPr>
        <w:pStyle w:val="Textonotapie"/>
        <w:jc w:val="both"/>
        <w:rPr>
          <w:lang w:val="en-US"/>
        </w:rPr>
      </w:pPr>
      <w:r>
        <w:rPr>
          <w:rStyle w:val="Refdenotaalpie"/>
        </w:rPr>
        <w:footnoteRef/>
      </w:r>
      <w:r w:rsidRPr="00F42023">
        <w:rPr>
          <w:lang w:val="en-US"/>
        </w:rPr>
        <w:t xml:space="preserve"> </w:t>
      </w:r>
      <w:hyperlink r:id="rId5" w:history="1">
        <w:r w:rsidRPr="00F42023">
          <w:rPr>
            <w:rStyle w:val="Hipervnculo"/>
            <w:lang w:val="en-US"/>
          </w:rPr>
          <w:t>https://www.legisver.gob.mx/leyes/LeyesPDF/CODIGOCIVIL12102022F.pdf</w:t>
        </w:r>
      </w:hyperlink>
      <w:r w:rsidRPr="00F42023">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580C" w14:textId="097482FC" w:rsidR="00E86787" w:rsidRDefault="00DC6948" w:rsidP="00DC6948">
    <w:pPr>
      <w:pStyle w:val="Encabezado"/>
      <w:tabs>
        <w:tab w:val="left" w:pos="555"/>
        <w:tab w:val="center" w:pos="4680"/>
      </w:tabs>
    </w:pPr>
    <w:r w:rsidRPr="00A623BA">
      <w:rPr>
        <w:noProof/>
        <w:lang w:eastAsia="es-MX"/>
      </w:rPr>
      <w:drawing>
        <wp:anchor distT="0" distB="0" distL="114300" distR="114300" simplePos="0" relativeHeight="251664384" behindDoc="0" locked="0" layoutInCell="1" allowOverlap="1" wp14:anchorId="55D1BF08" wp14:editId="2F3CB968">
          <wp:simplePos x="0" y="0"/>
          <wp:positionH relativeFrom="margin">
            <wp:posOffset>-428625</wp:posOffset>
          </wp:positionH>
          <wp:positionV relativeFrom="paragraph">
            <wp:posOffset>-325755</wp:posOffset>
          </wp:positionV>
          <wp:extent cx="1266825" cy="1273780"/>
          <wp:effectExtent l="0" t="0" r="0" b="3175"/>
          <wp:wrapNone/>
          <wp:docPr id="4" name="Imagen 4" descr="C:\Users\usuario1\Downloads\WhatsApp Image 2021-11-16 at 14.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ownloads\WhatsApp Image 2021-11-16 at 14.00.35.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73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601833">
      <w:tab/>
    </w:r>
  </w:p>
  <w:p w14:paraId="490597FD" w14:textId="77777777" w:rsidR="00E86787" w:rsidRDefault="00E86787" w:rsidP="00601833">
    <w:pPr>
      <w:pStyle w:val="Encabezado"/>
      <w:jc w:val="center"/>
    </w:pPr>
  </w:p>
  <w:p w14:paraId="2702FF8D" w14:textId="64698A57" w:rsidR="00E86787" w:rsidRDefault="00DC6948" w:rsidP="00DC6948">
    <w:pPr>
      <w:pStyle w:val="Encabezado"/>
      <w:tabs>
        <w:tab w:val="left" w:pos="4005"/>
      </w:tabs>
    </w:pPr>
    <w:r>
      <w:tab/>
    </w:r>
    <w:r>
      <w:tab/>
    </w:r>
  </w:p>
  <w:p w14:paraId="4ABFA8AC" w14:textId="77777777" w:rsidR="008F1274" w:rsidRDefault="008F1274" w:rsidP="00601833">
    <w:pPr>
      <w:pStyle w:val="Encabezado"/>
      <w:jc w:val="center"/>
    </w:pPr>
  </w:p>
  <w:p w14:paraId="775E0D6E" w14:textId="77777777" w:rsidR="004A2158" w:rsidRDefault="004A2158" w:rsidP="00601833">
    <w:pPr>
      <w:pStyle w:val="Encabezado"/>
      <w:jc w:val="center"/>
    </w:pPr>
  </w:p>
  <w:p w14:paraId="6DBC2B5C" w14:textId="3E973B03" w:rsidR="00B24B86" w:rsidRPr="00713366" w:rsidRDefault="00601833" w:rsidP="00601833">
    <w:pPr>
      <w:pStyle w:val="Encabezado"/>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006"/>
    <w:multiLevelType w:val="hybridMultilevel"/>
    <w:tmpl w:val="A936FB5C"/>
    <w:lvl w:ilvl="0" w:tplc="3F0E79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14D89"/>
    <w:multiLevelType w:val="hybridMultilevel"/>
    <w:tmpl w:val="BACA7D00"/>
    <w:lvl w:ilvl="0" w:tplc="84ECBB5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BA43B5"/>
    <w:multiLevelType w:val="hybridMultilevel"/>
    <w:tmpl w:val="AD508A8A"/>
    <w:lvl w:ilvl="0" w:tplc="331E7D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5F81E0F"/>
    <w:multiLevelType w:val="hybridMultilevel"/>
    <w:tmpl w:val="255CB658"/>
    <w:lvl w:ilvl="0" w:tplc="BB5C49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3F19DE"/>
    <w:multiLevelType w:val="hybridMultilevel"/>
    <w:tmpl w:val="5C9C3926"/>
    <w:lvl w:ilvl="0" w:tplc="B70A73B4">
      <w:start w:val="9"/>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A6B4AB1"/>
    <w:multiLevelType w:val="hybridMultilevel"/>
    <w:tmpl w:val="87CC1978"/>
    <w:lvl w:ilvl="0" w:tplc="19DC8B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B927ED5"/>
    <w:multiLevelType w:val="hybridMultilevel"/>
    <w:tmpl w:val="F744B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637145"/>
    <w:multiLevelType w:val="hybridMultilevel"/>
    <w:tmpl w:val="6ED68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7AB2973"/>
    <w:multiLevelType w:val="hybridMultilevel"/>
    <w:tmpl w:val="E8721BFA"/>
    <w:lvl w:ilvl="0" w:tplc="A1000638">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1AE02760"/>
    <w:multiLevelType w:val="hybridMultilevel"/>
    <w:tmpl w:val="8090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BDB6545"/>
    <w:multiLevelType w:val="hybridMultilevel"/>
    <w:tmpl w:val="6ED68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35E7469"/>
    <w:multiLevelType w:val="hybridMultilevel"/>
    <w:tmpl w:val="50E8565A"/>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837EC5"/>
    <w:multiLevelType w:val="hybridMultilevel"/>
    <w:tmpl w:val="993E8ABE"/>
    <w:lvl w:ilvl="0" w:tplc="0298BF50">
      <w:start w:val="1"/>
      <w:numFmt w:val="decimal"/>
      <w:lvlText w:val="%1."/>
      <w:lvlJc w:val="left"/>
      <w:pPr>
        <w:ind w:left="2629" w:hanging="360"/>
      </w:pPr>
      <w:rPr>
        <w:rFonts w:hint="default"/>
        <w:b w:val="0"/>
        <w:bCs w:val="0"/>
        <w:i w:val="0"/>
        <w:sz w:val="28"/>
        <w:szCs w:val="28"/>
        <w:vertAlign w:val="baseline"/>
      </w:rPr>
    </w:lvl>
    <w:lvl w:ilvl="1" w:tplc="EADEFFC0">
      <w:start w:val="1"/>
      <w:numFmt w:val="lowerLetter"/>
      <w:lvlText w:val="%2."/>
      <w:lvlJc w:val="left"/>
      <w:pPr>
        <w:ind w:left="1440" w:hanging="360"/>
      </w:pPr>
      <w:rPr>
        <w:rFonts w:hint="default"/>
        <w:b/>
        <w:bCs w:val="0"/>
      </w:rPr>
    </w:lvl>
    <w:lvl w:ilvl="2" w:tplc="6C9C0314">
      <w:start w:val="1"/>
      <w:numFmt w:val="lowerLetter"/>
      <w:lvlText w:val="%3)"/>
      <w:lvlJc w:val="left"/>
      <w:pPr>
        <w:ind w:left="2340" w:hanging="360"/>
      </w:pPr>
      <w:rPr>
        <w:rFonts w:hint="default"/>
        <w:b/>
        <w:bCs/>
      </w:rPr>
    </w:lvl>
    <w:lvl w:ilvl="3" w:tplc="9D50850A">
      <w:start w:val="1"/>
      <w:numFmt w:val="bullet"/>
      <w:lvlText w:val="-"/>
      <w:lvlJc w:val="left"/>
      <w:pPr>
        <w:ind w:left="928" w:hanging="360"/>
      </w:pPr>
      <w:rPr>
        <w:rFonts w:ascii="Arial" w:eastAsiaTheme="minorHAnsi" w:hAnsi="Arial" w:cs="Arial" w:hint="default"/>
      </w:rPr>
    </w:lvl>
    <w:lvl w:ilvl="4" w:tplc="01C433C0">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AF7E3C"/>
    <w:multiLevelType w:val="hybridMultilevel"/>
    <w:tmpl w:val="9452B070"/>
    <w:lvl w:ilvl="0" w:tplc="6DD6280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0822389"/>
    <w:multiLevelType w:val="hybridMultilevel"/>
    <w:tmpl w:val="FEFA4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F21337"/>
    <w:multiLevelType w:val="hybridMultilevel"/>
    <w:tmpl w:val="E7A6877C"/>
    <w:lvl w:ilvl="0" w:tplc="6DD62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B77724"/>
    <w:multiLevelType w:val="hybridMultilevel"/>
    <w:tmpl w:val="14CA0AD2"/>
    <w:lvl w:ilvl="0" w:tplc="6DD62800">
      <w:start w:val="1"/>
      <w:numFmt w:val="decimal"/>
      <w:lvlText w:val="%1."/>
      <w:lvlJc w:val="left"/>
      <w:pPr>
        <w:ind w:left="1496" w:hanging="360"/>
      </w:pPr>
      <w:rPr>
        <w:b/>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9">
    <w:nsid w:val="3D773E7B"/>
    <w:multiLevelType w:val="hybridMultilevel"/>
    <w:tmpl w:val="9E1632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EAF72DE"/>
    <w:multiLevelType w:val="hybridMultilevel"/>
    <w:tmpl w:val="07C8E02A"/>
    <w:lvl w:ilvl="0" w:tplc="C61E2970">
      <w:start w:val="3"/>
      <w:numFmt w:val="upperRoman"/>
      <w:lvlText w:val="%1."/>
      <w:lvlJc w:val="left"/>
      <w:pPr>
        <w:ind w:left="2520" w:hanging="720"/>
      </w:pPr>
      <w:rPr>
        <w:rFonts w:hint="default"/>
        <w:sz w:val="24"/>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1">
    <w:nsid w:val="3F3C221B"/>
    <w:multiLevelType w:val="hybridMultilevel"/>
    <w:tmpl w:val="69205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EC0F2C"/>
    <w:multiLevelType w:val="hybridMultilevel"/>
    <w:tmpl w:val="745A2C34"/>
    <w:lvl w:ilvl="0" w:tplc="D868A97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F64BC"/>
    <w:multiLevelType w:val="hybridMultilevel"/>
    <w:tmpl w:val="F102A3B8"/>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8727C6"/>
    <w:multiLevelType w:val="hybridMultilevel"/>
    <w:tmpl w:val="ED86E03C"/>
    <w:lvl w:ilvl="0" w:tplc="3A3A26C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1EF2249"/>
    <w:multiLevelType w:val="hybridMultilevel"/>
    <w:tmpl w:val="208635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FF6F72"/>
    <w:multiLevelType w:val="hybridMultilevel"/>
    <w:tmpl w:val="09EE7336"/>
    <w:lvl w:ilvl="0" w:tplc="CAB4EC76">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B983D06"/>
    <w:multiLevelType w:val="hybridMultilevel"/>
    <w:tmpl w:val="7E2E4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320F07"/>
    <w:multiLevelType w:val="hybridMultilevel"/>
    <w:tmpl w:val="75EEC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8C6C85"/>
    <w:multiLevelType w:val="hybridMultilevel"/>
    <w:tmpl w:val="3B92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C02A8D"/>
    <w:multiLevelType w:val="hybridMultilevel"/>
    <w:tmpl w:val="89B0B2F6"/>
    <w:lvl w:ilvl="0" w:tplc="BB5C49F4">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8AC7899"/>
    <w:multiLevelType w:val="hybridMultilevel"/>
    <w:tmpl w:val="BB203D4E"/>
    <w:lvl w:ilvl="0" w:tplc="2AA6A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7514C6"/>
    <w:multiLevelType w:val="hybridMultilevel"/>
    <w:tmpl w:val="9594EE8A"/>
    <w:lvl w:ilvl="0" w:tplc="D9F62F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D8184B"/>
    <w:multiLevelType w:val="hybridMultilevel"/>
    <w:tmpl w:val="A76C8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1B603B"/>
    <w:multiLevelType w:val="hybridMultilevel"/>
    <w:tmpl w:val="F084B26C"/>
    <w:lvl w:ilvl="0" w:tplc="080A0017">
      <w:start w:val="1"/>
      <w:numFmt w:val="lowerLetter"/>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66E4959"/>
    <w:multiLevelType w:val="hybridMultilevel"/>
    <w:tmpl w:val="3FECB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C7C2EBE"/>
    <w:multiLevelType w:val="hybridMultilevel"/>
    <w:tmpl w:val="1F5EC3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7">
    <w:nsid w:val="6CC9338B"/>
    <w:multiLevelType w:val="hybridMultilevel"/>
    <w:tmpl w:val="7BC6BEE8"/>
    <w:lvl w:ilvl="0" w:tplc="64FC8896">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6C10EA3"/>
    <w:multiLevelType w:val="hybridMultilevel"/>
    <w:tmpl w:val="E6004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0"/>
  </w:num>
  <w:num w:numId="3">
    <w:abstractNumId w:val="33"/>
  </w:num>
  <w:num w:numId="4">
    <w:abstractNumId w:val="7"/>
  </w:num>
  <w:num w:numId="5">
    <w:abstractNumId w:val="1"/>
  </w:num>
  <w:num w:numId="6">
    <w:abstractNumId w:val="10"/>
  </w:num>
  <w:num w:numId="7">
    <w:abstractNumId w:val="12"/>
  </w:num>
  <w:num w:numId="8">
    <w:abstractNumId w:val="11"/>
  </w:num>
  <w:num w:numId="9">
    <w:abstractNumId w:val="16"/>
  </w:num>
  <w:num w:numId="10">
    <w:abstractNumId w:val="34"/>
  </w:num>
  <w:num w:numId="11">
    <w:abstractNumId w:val="36"/>
  </w:num>
  <w:num w:numId="12">
    <w:abstractNumId w:val="19"/>
  </w:num>
  <w:num w:numId="13">
    <w:abstractNumId w:val="17"/>
  </w:num>
  <w:num w:numId="14">
    <w:abstractNumId w:val="27"/>
  </w:num>
  <w:num w:numId="15">
    <w:abstractNumId w:val="9"/>
  </w:num>
  <w:num w:numId="16">
    <w:abstractNumId w:val="8"/>
  </w:num>
  <w:num w:numId="17">
    <w:abstractNumId w:val="15"/>
  </w:num>
  <w:num w:numId="18">
    <w:abstractNumId w:val="6"/>
  </w:num>
  <w:num w:numId="19">
    <w:abstractNumId w:val="26"/>
  </w:num>
  <w:num w:numId="20">
    <w:abstractNumId w:val="31"/>
  </w:num>
  <w:num w:numId="21">
    <w:abstractNumId w:val="21"/>
  </w:num>
  <w:num w:numId="22">
    <w:abstractNumId w:val="4"/>
  </w:num>
  <w:num w:numId="23">
    <w:abstractNumId w:val="30"/>
  </w:num>
  <w:num w:numId="24">
    <w:abstractNumId w:val="18"/>
  </w:num>
  <w:num w:numId="25">
    <w:abstractNumId w:val="14"/>
  </w:num>
  <w:num w:numId="26">
    <w:abstractNumId w:val="23"/>
  </w:num>
  <w:num w:numId="27">
    <w:abstractNumId w:val="13"/>
  </w:num>
  <w:num w:numId="28">
    <w:abstractNumId w:val="25"/>
  </w:num>
  <w:num w:numId="29">
    <w:abstractNumId w:val="29"/>
  </w:num>
  <w:num w:numId="30">
    <w:abstractNumId w:val="38"/>
  </w:num>
  <w:num w:numId="31">
    <w:abstractNumId w:val="24"/>
  </w:num>
  <w:num w:numId="32">
    <w:abstractNumId w:val="2"/>
  </w:num>
  <w:num w:numId="33">
    <w:abstractNumId w:val="22"/>
  </w:num>
  <w:num w:numId="34">
    <w:abstractNumId w:val="3"/>
  </w:num>
  <w:num w:numId="35">
    <w:abstractNumId w:val="0"/>
  </w:num>
  <w:num w:numId="36">
    <w:abstractNumId w:val="35"/>
  </w:num>
  <w:num w:numId="37">
    <w:abstractNumId w:val="28"/>
  </w:num>
  <w:num w:numId="38">
    <w:abstractNumId w:val="3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B"/>
    <w:rsid w:val="00000575"/>
    <w:rsid w:val="000010BA"/>
    <w:rsid w:val="00003A89"/>
    <w:rsid w:val="00006E92"/>
    <w:rsid w:val="000117B1"/>
    <w:rsid w:val="000138D8"/>
    <w:rsid w:val="00013A6D"/>
    <w:rsid w:val="0001639C"/>
    <w:rsid w:val="000200D6"/>
    <w:rsid w:val="00031CED"/>
    <w:rsid w:val="00035373"/>
    <w:rsid w:val="000375C4"/>
    <w:rsid w:val="00037FCE"/>
    <w:rsid w:val="0004274E"/>
    <w:rsid w:val="000527AF"/>
    <w:rsid w:val="00054E98"/>
    <w:rsid w:val="00056453"/>
    <w:rsid w:val="00062636"/>
    <w:rsid w:val="0006767F"/>
    <w:rsid w:val="0007507A"/>
    <w:rsid w:val="00075742"/>
    <w:rsid w:val="000763C2"/>
    <w:rsid w:val="00081978"/>
    <w:rsid w:val="00081F41"/>
    <w:rsid w:val="00090EE0"/>
    <w:rsid w:val="00092084"/>
    <w:rsid w:val="000A4158"/>
    <w:rsid w:val="000A5DA4"/>
    <w:rsid w:val="000A61DB"/>
    <w:rsid w:val="000B623D"/>
    <w:rsid w:val="000C1D55"/>
    <w:rsid w:val="000C2890"/>
    <w:rsid w:val="000C381C"/>
    <w:rsid w:val="000D10C3"/>
    <w:rsid w:val="000E0533"/>
    <w:rsid w:val="000E7743"/>
    <w:rsid w:val="000F1EDC"/>
    <w:rsid w:val="000F7E55"/>
    <w:rsid w:val="00102E0B"/>
    <w:rsid w:val="001054E6"/>
    <w:rsid w:val="00115829"/>
    <w:rsid w:val="00125C9F"/>
    <w:rsid w:val="00136213"/>
    <w:rsid w:val="00136B0A"/>
    <w:rsid w:val="00140426"/>
    <w:rsid w:val="00140F8C"/>
    <w:rsid w:val="0014221D"/>
    <w:rsid w:val="001462B9"/>
    <w:rsid w:val="0014730A"/>
    <w:rsid w:val="00153AB6"/>
    <w:rsid w:val="0015492C"/>
    <w:rsid w:val="00155C6A"/>
    <w:rsid w:val="00161623"/>
    <w:rsid w:val="001622EF"/>
    <w:rsid w:val="001650DB"/>
    <w:rsid w:val="0017103C"/>
    <w:rsid w:val="00180665"/>
    <w:rsid w:val="00182598"/>
    <w:rsid w:val="00183571"/>
    <w:rsid w:val="00183BC1"/>
    <w:rsid w:val="00184DF5"/>
    <w:rsid w:val="00193916"/>
    <w:rsid w:val="00194DF0"/>
    <w:rsid w:val="00196EF6"/>
    <w:rsid w:val="001A4CD4"/>
    <w:rsid w:val="001A5767"/>
    <w:rsid w:val="001B423D"/>
    <w:rsid w:val="001B5FCA"/>
    <w:rsid w:val="001C1B15"/>
    <w:rsid w:val="001C7CE3"/>
    <w:rsid w:val="001D7B68"/>
    <w:rsid w:val="001E62EB"/>
    <w:rsid w:val="001E63E1"/>
    <w:rsid w:val="001E7A7B"/>
    <w:rsid w:val="001F0960"/>
    <w:rsid w:val="001F1528"/>
    <w:rsid w:val="001F4A9F"/>
    <w:rsid w:val="001F6686"/>
    <w:rsid w:val="001F7476"/>
    <w:rsid w:val="002030FA"/>
    <w:rsid w:val="00203F06"/>
    <w:rsid w:val="0020718E"/>
    <w:rsid w:val="00207453"/>
    <w:rsid w:val="002077CC"/>
    <w:rsid w:val="002116FA"/>
    <w:rsid w:val="00212AAC"/>
    <w:rsid w:val="00213F73"/>
    <w:rsid w:val="00214563"/>
    <w:rsid w:val="00221094"/>
    <w:rsid w:val="00223BF2"/>
    <w:rsid w:val="00227F7A"/>
    <w:rsid w:val="00231917"/>
    <w:rsid w:val="002514E8"/>
    <w:rsid w:val="002556E3"/>
    <w:rsid w:val="002576C5"/>
    <w:rsid w:val="002662B5"/>
    <w:rsid w:val="00293BFC"/>
    <w:rsid w:val="002A1E1E"/>
    <w:rsid w:val="002A6732"/>
    <w:rsid w:val="002B5498"/>
    <w:rsid w:val="002B5BEE"/>
    <w:rsid w:val="002B6928"/>
    <w:rsid w:val="002C0269"/>
    <w:rsid w:val="002C22C7"/>
    <w:rsid w:val="002C47C5"/>
    <w:rsid w:val="002D2AC9"/>
    <w:rsid w:val="002E11D9"/>
    <w:rsid w:val="002E2775"/>
    <w:rsid w:val="002E3E87"/>
    <w:rsid w:val="002E6C3C"/>
    <w:rsid w:val="002E6D6B"/>
    <w:rsid w:val="002F2A74"/>
    <w:rsid w:val="0030002C"/>
    <w:rsid w:val="003076A2"/>
    <w:rsid w:val="00310466"/>
    <w:rsid w:val="00310634"/>
    <w:rsid w:val="0031098F"/>
    <w:rsid w:val="003121CC"/>
    <w:rsid w:val="00316CE6"/>
    <w:rsid w:val="0031738C"/>
    <w:rsid w:val="0032164F"/>
    <w:rsid w:val="00321A30"/>
    <w:rsid w:val="00333E7A"/>
    <w:rsid w:val="0033711A"/>
    <w:rsid w:val="00337C45"/>
    <w:rsid w:val="00341810"/>
    <w:rsid w:val="0034470C"/>
    <w:rsid w:val="00344D59"/>
    <w:rsid w:val="00351647"/>
    <w:rsid w:val="003543D5"/>
    <w:rsid w:val="00356337"/>
    <w:rsid w:val="00361C93"/>
    <w:rsid w:val="00361CA9"/>
    <w:rsid w:val="00370B5D"/>
    <w:rsid w:val="00372FB0"/>
    <w:rsid w:val="0037739C"/>
    <w:rsid w:val="003811C5"/>
    <w:rsid w:val="00382E95"/>
    <w:rsid w:val="00385A58"/>
    <w:rsid w:val="00387497"/>
    <w:rsid w:val="00393199"/>
    <w:rsid w:val="00393F02"/>
    <w:rsid w:val="003956E0"/>
    <w:rsid w:val="003A19F3"/>
    <w:rsid w:val="003A5DA3"/>
    <w:rsid w:val="003A6F9C"/>
    <w:rsid w:val="003A7551"/>
    <w:rsid w:val="003B5F06"/>
    <w:rsid w:val="003B797B"/>
    <w:rsid w:val="003C1B40"/>
    <w:rsid w:val="003C3893"/>
    <w:rsid w:val="003C4C75"/>
    <w:rsid w:val="003C7151"/>
    <w:rsid w:val="003D4B5C"/>
    <w:rsid w:val="003D500F"/>
    <w:rsid w:val="003F0252"/>
    <w:rsid w:val="00416E42"/>
    <w:rsid w:val="0041765A"/>
    <w:rsid w:val="004220B3"/>
    <w:rsid w:val="004234B9"/>
    <w:rsid w:val="00431F69"/>
    <w:rsid w:val="00432264"/>
    <w:rsid w:val="0043419F"/>
    <w:rsid w:val="00435293"/>
    <w:rsid w:val="00436DA5"/>
    <w:rsid w:val="00437BB7"/>
    <w:rsid w:val="00437C29"/>
    <w:rsid w:val="004414B8"/>
    <w:rsid w:val="0044276A"/>
    <w:rsid w:val="0044441D"/>
    <w:rsid w:val="00445F0C"/>
    <w:rsid w:val="00452786"/>
    <w:rsid w:val="004535B6"/>
    <w:rsid w:val="004562A0"/>
    <w:rsid w:val="00457753"/>
    <w:rsid w:val="004740B0"/>
    <w:rsid w:val="004752DC"/>
    <w:rsid w:val="00475AF3"/>
    <w:rsid w:val="00491F9D"/>
    <w:rsid w:val="004A1F0B"/>
    <w:rsid w:val="004A2158"/>
    <w:rsid w:val="004A597A"/>
    <w:rsid w:val="004A6F4F"/>
    <w:rsid w:val="004B0D7C"/>
    <w:rsid w:val="004B30D7"/>
    <w:rsid w:val="004B6C64"/>
    <w:rsid w:val="004C37A5"/>
    <w:rsid w:val="004C6170"/>
    <w:rsid w:val="004C65E1"/>
    <w:rsid w:val="004C6A21"/>
    <w:rsid w:val="004D0AC4"/>
    <w:rsid w:val="004D15EC"/>
    <w:rsid w:val="004D1CF0"/>
    <w:rsid w:val="004D3833"/>
    <w:rsid w:val="004D419E"/>
    <w:rsid w:val="004D5B41"/>
    <w:rsid w:val="004D686E"/>
    <w:rsid w:val="004E10D5"/>
    <w:rsid w:val="004E3F30"/>
    <w:rsid w:val="004E53FB"/>
    <w:rsid w:val="004E58B9"/>
    <w:rsid w:val="004E5AD6"/>
    <w:rsid w:val="004F064D"/>
    <w:rsid w:val="004F0D13"/>
    <w:rsid w:val="004F383D"/>
    <w:rsid w:val="004F45AD"/>
    <w:rsid w:val="004F560B"/>
    <w:rsid w:val="005019EF"/>
    <w:rsid w:val="00505F80"/>
    <w:rsid w:val="005066D6"/>
    <w:rsid w:val="0050723A"/>
    <w:rsid w:val="00507851"/>
    <w:rsid w:val="00511ADB"/>
    <w:rsid w:val="005124F9"/>
    <w:rsid w:val="005137AC"/>
    <w:rsid w:val="00514A01"/>
    <w:rsid w:val="0052043D"/>
    <w:rsid w:val="00521F0E"/>
    <w:rsid w:val="00533E6E"/>
    <w:rsid w:val="00534EB2"/>
    <w:rsid w:val="00536675"/>
    <w:rsid w:val="00544ECC"/>
    <w:rsid w:val="0054759B"/>
    <w:rsid w:val="00551358"/>
    <w:rsid w:val="005547DF"/>
    <w:rsid w:val="0056057B"/>
    <w:rsid w:val="005650C0"/>
    <w:rsid w:val="00571834"/>
    <w:rsid w:val="00582EFA"/>
    <w:rsid w:val="00591F5C"/>
    <w:rsid w:val="005938D1"/>
    <w:rsid w:val="005A2BC8"/>
    <w:rsid w:val="005B1375"/>
    <w:rsid w:val="005B479A"/>
    <w:rsid w:val="005B6BF8"/>
    <w:rsid w:val="005C22DF"/>
    <w:rsid w:val="005C2913"/>
    <w:rsid w:val="005C7679"/>
    <w:rsid w:val="005D05AD"/>
    <w:rsid w:val="005E0B62"/>
    <w:rsid w:val="005E1ACE"/>
    <w:rsid w:val="005F0E93"/>
    <w:rsid w:val="005F5717"/>
    <w:rsid w:val="006011FF"/>
    <w:rsid w:val="00601833"/>
    <w:rsid w:val="00602C6F"/>
    <w:rsid w:val="00604285"/>
    <w:rsid w:val="00604E26"/>
    <w:rsid w:val="006141AA"/>
    <w:rsid w:val="0062487B"/>
    <w:rsid w:val="006252D6"/>
    <w:rsid w:val="00633110"/>
    <w:rsid w:val="00634993"/>
    <w:rsid w:val="00634C62"/>
    <w:rsid w:val="00640560"/>
    <w:rsid w:val="0064623F"/>
    <w:rsid w:val="00655989"/>
    <w:rsid w:val="006567FE"/>
    <w:rsid w:val="0067127B"/>
    <w:rsid w:val="006714F1"/>
    <w:rsid w:val="006750DC"/>
    <w:rsid w:val="00676728"/>
    <w:rsid w:val="006B39D9"/>
    <w:rsid w:val="006C0C5C"/>
    <w:rsid w:val="006C19D5"/>
    <w:rsid w:val="006D4988"/>
    <w:rsid w:val="006D79FF"/>
    <w:rsid w:val="006E06E5"/>
    <w:rsid w:val="006E21C3"/>
    <w:rsid w:val="006E5AAD"/>
    <w:rsid w:val="006F0A40"/>
    <w:rsid w:val="006F2F9B"/>
    <w:rsid w:val="006F6FAF"/>
    <w:rsid w:val="0070563E"/>
    <w:rsid w:val="00705902"/>
    <w:rsid w:val="00710BF9"/>
    <w:rsid w:val="00712071"/>
    <w:rsid w:val="00712452"/>
    <w:rsid w:val="00713366"/>
    <w:rsid w:val="007208A7"/>
    <w:rsid w:val="00722048"/>
    <w:rsid w:val="00745BF3"/>
    <w:rsid w:val="007539C3"/>
    <w:rsid w:val="0076758C"/>
    <w:rsid w:val="007802D1"/>
    <w:rsid w:val="007815FB"/>
    <w:rsid w:val="007823E7"/>
    <w:rsid w:val="00783A07"/>
    <w:rsid w:val="007865BF"/>
    <w:rsid w:val="0079150E"/>
    <w:rsid w:val="00792B66"/>
    <w:rsid w:val="00797910"/>
    <w:rsid w:val="007A1ECE"/>
    <w:rsid w:val="007A2AAF"/>
    <w:rsid w:val="007A408F"/>
    <w:rsid w:val="007A4536"/>
    <w:rsid w:val="007A624D"/>
    <w:rsid w:val="007A7559"/>
    <w:rsid w:val="007B42F3"/>
    <w:rsid w:val="007B48EC"/>
    <w:rsid w:val="007D0880"/>
    <w:rsid w:val="007D0A97"/>
    <w:rsid w:val="007D0F9A"/>
    <w:rsid w:val="007E0801"/>
    <w:rsid w:val="007E1039"/>
    <w:rsid w:val="007E386C"/>
    <w:rsid w:val="007E39F6"/>
    <w:rsid w:val="007E413D"/>
    <w:rsid w:val="007F3095"/>
    <w:rsid w:val="007F52B9"/>
    <w:rsid w:val="007F59BF"/>
    <w:rsid w:val="00800D06"/>
    <w:rsid w:val="008024B7"/>
    <w:rsid w:val="0080453B"/>
    <w:rsid w:val="00826C89"/>
    <w:rsid w:val="0083127B"/>
    <w:rsid w:val="00836433"/>
    <w:rsid w:val="00837EB7"/>
    <w:rsid w:val="00850231"/>
    <w:rsid w:val="008528B5"/>
    <w:rsid w:val="00860A8E"/>
    <w:rsid w:val="00861868"/>
    <w:rsid w:val="00862CE2"/>
    <w:rsid w:val="0087028E"/>
    <w:rsid w:val="0087698F"/>
    <w:rsid w:val="008828C9"/>
    <w:rsid w:val="008863F0"/>
    <w:rsid w:val="008870FD"/>
    <w:rsid w:val="00887E50"/>
    <w:rsid w:val="00894817"/>
    <w:rsid w:val="00894D46"/>
    <w:rsid w:val="008979EE"/>
    <w:rsid w:val="008A0F01"/>
    <w:rsid w:val="008A159A"/>
    <w:rsid w:val="008A1C99"/>
    <w:rsid w:val="008A4E5E"/>
    <w:rsid w:val="008B1796"/>
    <w:rsid w:val="008B618A"/>
    <w:rsid w:val="008C01C4"/>
    <w:rsid w:val="008C162E"/>
    <w:rsid w:val="008C26D5"/>
    <w:rsid w:val="008C3130"/>
    <w:rsid w:val="008C33A3"/>
    <w:rsid w:val="008C36FA"/>
    <w:rsid w:val="008C4A4A"/>
    <w:rsid w:val="008C570D"/>
    <w:rsid w:val="008D2EE2"/>
    <w:rsid w:val="008E0A23"/>
    <w:rsid w:val="008E2402"/>
    <w:rsid w:val="008E6880"/>
    <w:rsid w:val="008E6C04"/>
    <w:rsid w:val="008F0350"/>
    <w:rsid w:val="008F1274"/>
    <w:rsid w:val="008F2FF4"/>
    <w:rsid w:val="008F575A"/>
    <w:rsid w:val="008F6E5C"/>
    <w:rsid w:val="008F75CD"/>
    <w:rsid w:val="00902B4B"/>
    <w:rsid w:val="009050CA"/>
    <w:rsid w:val="00910746"/>
    <w:rsid w:val="009113DE"/>
    <w:rsid w:val="0091465C"/>
    <w:rsid w:val="0091664E"/>
    <w:rsid w:val="00921192"/>
    <w:rsid w:val="00921753"/>
    <w:rsid w:val="0093199B"/>
    <w:rsid w:val="00932AA0"/>
    <w:rsid w:val="009400FF"/>
    <w:rsid w:val="009425FA"/>
    <w:rsid w:val="00945033"/>
    <w:rsid w:val="00954038"/>
    <w:rsid w:val="009543FD"/>
    <w:rsid w:val="009566BC"/>
    <w:rsid w:val="009606A2"/>
    <w:rsid w:val="00961EE6"/>
    <w:rsid w:val="0097388F"/>
    <w:rsid w:val="00973A75"/>
    <w:rsid w:val="00973B64"/>
    <w:rsid w:val="00976713"/>
    <w:rsid w:val="00976F39"/>
    <w:rsid w:val="00980084"/>
    <w:rsid w:val="009817D5"/>
    <w:rsid w:val="0098503D"/>
    <w:rsid w:val="009858E7"/>
    <w:rsid w:val="009872C5"/>
    <w:rsid w:val="00990A3A"/>
    <w:rsid w:val="009953D4"/>
    <w:rsid w:val="009974AE"/>
    <w:rsid w:val="009A25E8"/>
    <w:rsid w:val="009A30B5"/>
    <w:rsid w:val="009B6E02"/>
    <w:rsid w:val="009D1B68"/>
    <w:rsid w:val="009D45FD"/>
    <w:rsid w:val="009D62DE"/>
    <w:rsid w:val="009D6C56"/>
    <w:rsid w:val="009E00EB"/>
    <w:rsid w:val="009F08B3"/>
    <w:rsid w:val="009F44D0"/>
    <w:rsid w:val="009F467A"/>
    <w:rsid w:val="00A11908"/>
    <w:rsid w:val="00A20C0B"/>
    <w:rsid w:val="00A20F63"/>
    <w:rsid w:val="00A26A46"/>
    <w:rsid w:val="00A27F88"/>
    <w:rsid w:val="00A42430"/>
    <w:rsid w:val="00A559BB"/>
    <w:rsid w:val="00A60A9C"/>
    <w:rsid w:val="00A63E6D"/>
    <w:rsid w:val="00A71284"/>
    <w:rsid w:val="00A76C8B"/>
    <w:rsid w:val="00A76E38"/>
    <w:rsid w:val="00A8473D"/>
    <w:rsid w:val="00A9041A"/>
    <w:rsid w:val="00A91E33"/>
    <w:rsid w:val="00A938AF"/>
    <w:rsid w:val="00AA31A2"/>
    <w:rsid w:val="00AA6B86"/>
    <w:rsid w:val="00AB0CF6"/>
    <w:rsid w:val="00AB24BF"/>
    <w:rsid w:val="00AB259C"/>
    <w:rsid w:val="00AC0BD5"/>
    <w:rsid w:val="00AC4136"/>
    <w:rsid w:val="00AD09D4"/>
    <w:rsid w:val="00AD56BC"/>
    <w:rsid w:val="00AE6CDA"/>
    <w:rsid w:val="00AF739C"/>
    <w:rsid w:val="00B003EC"/>
    <w:rsid w:val="00B13205"/>
    <w:rsid w:val="00B14211"/>
    <w:rsid w:val="00B1493A"/>
    <w:rsid w:val="00B14E32"/>
    <w:rsid w:val="00B1754E"/>
    <w:rsid w:val="00B23D0E"/>
    <w:rsid w:val="00B24701"/>
    <w:rsid w:val="00B24B86"/>
    <w:rsid w:val="00B254FB"/>
    <w:rsid w:val="00B36461"/>
    <w:rsid w:val="00B36C66"/>
    <w:rsid w:val="00B37FCB"/>
    <w:rsid w:val="00B41D33"/>
    <w:rsid w:val="00B506D5"/>
    <w:rsid w:val="00B56A32"/>
    <w:rsid w:val="00B63469"/>
    <w:rsid w:val="00B704C8"/>
    <w:rsid w:val="00B82495"/>
    <w:rsid w:val="00B86EB6"/>
    <w:rsid w:val="00B92799"/>
    <w:rsid w:val="00B940F2"/>
    <w:rsid w:val="00B95FF7"/>
    <w:rsid w:val="00B973B3"/>
    <w:rsid w:val="00BA0FCB"/>
    <w:rsid w:val="00BA3070"/>
    <w:rsid w:val="00BA4075"/>
    <w:rsid w:val="00BA4F94"/>
    <w:rsid w:val="00BB0138"/>
    <w:rsid w:val="00BB5E91"/>
    <w:rsid w:val="00BB6735"/>
    <w:rsid w:val="00BB7DAC"/>
    <w:rsid w:val="00BC3241"/>
    <w:rsid w:val="00BC6976"/>
    <w:rsid w:val="00BC6E9E"/>
    <w:rsid w:val="00BD1062"/>
    <w:rsid w:val="00BD11BA"/>
    <w:rsid w:val="00BE3DAA"/>
    <w:rsid w:val="00BE4454"/>
    <w:rsid w:val="00BF2144"/>
    <w:rsid w:val="00BF55C4"/>
    <w:rsid w:val="00BF634C"/>
    <w:rsid w:val="00C10589"/>
    <w:rsid w:val="00C12CAE"/>
    <w:rsid w:val="00C149B8"/>
    <w:rsid w:val="00C15C96"/>
    <w:rsid w:val="00C31167"/>
    <w:rsid w:val="00C335D2"/>
    <w:rsid w:val="00C33DAD"/>
    <w:rsid w:val="00C34A1D"/>
    <w:rsid w:val="00C37CD2"/>
    <w:rsid w:val="00C37F7F"/>
    <w:rsid w:val="00C51F36"/>
    <w:rsid w:val="00C61F9D"/>
    <w:rsid w:val="00C6716E"/>
    <w:rsid w:val="00C715C6"/>
    <w:rsid w:val="00C74CD4"/>
    <w:rsid w:val="00C7596A"/>
    <w:rsid w:val="00C77BA8"/>
    <w:rsid w:val="00C80DA8"/>
    <w:rsid w:val="00C82D03"/>
    <w:rsid w:val="00C92FD4"/>
    <w:rsid w:val="00C94221"/>
    <w:rsid w:val="00CA51AC"/>
    <w:rsid w:val="00CB0A52"/>
    <w:rsid w:val="00CB3A01"/>
    <w:rsid w:val="00CB59F9"/>
    <w:rsid w:val="00CB7B0C"/>
    <w:rsid w:val="00CC15D9"/>
    <w:rsid w:val="00CC576D"/>
    <w:rsid w:val="00CD0840"/>
    <w:rsid w:val="00CD10D8"/>
    <w:rsid w:val="00CD12E2"/>
    <w:rsid w:val="00CD5878"/>
    <w:rsid w:val="00CD60D1"/>
    <w:rsid w:val="00CD7051"/>
    <w:rsid w:val="00CE3593"/>
    <w:rsid w:val="00CE3D9F"/>
    <w:rsid w:val="00CF150B"/>
    <w:rsid w:val="00CF3B14"/>
    <w:rsid w:val="00CF3E87"/>
    <w:rsid w:val="00CF5319"/>
    <w:rsid w:val="00CF68D0"/>
    <w:rsid w:val="00D0457E"/>
    <w:rsid w:val="00D04CBE"/>
    <w:rsid w:val="00D14FB1"/>
    <w:rsid w:val="00D16113"/>
    <w:rsid w:val="00D16D6E"/>
    <w:rsid w:val="00D16E52"/>
    <w:rsid w:val="00D17610"/>
    <w:rsid w:val="00D22427"/>
    <w:rsid w:val="00D22A9A"/>
    <w:rsid w:val="00D24EE2"/>
    <w:rsid w:val="00D27A33"/>
    <w:rsid w:val="00D3267E"/>
    <w:rsid w:val="00D3445C"/>
    <w:rsid w:val="00D34B69"/>
    <w:rsid w:val="00D371F3"/>
    <w:rsid w:val="00D43466"/>
    <w:rsid w:val="00D43594"/>
    <w:rsid w:val="00D4605A"/>
    <w:rsid w:val="00D5380B"/>
    <w:rsid w:val="00D55944"/>
    <w:rsid w:val="00D61A48"/>
    <w:rsid w:val="00D61D9B"/>
    <w:rsid w:val="00D6256C"/>
    <w:rsid w:val="00D6456B"/>
    <w:rsid w:val="00D67D7B"/>
    <w:rsid w:val="00D7203F"/>
    <w:rsid w:val="00D73913"/>
    <w:rsid w:val="00D84E39"/>
    <w:rsid w:val="00D91FEE"/>
    <w:rsid w:val="00D96891"/>
    <w:rsid w:val="00D978B7"/>
    <w:rsid w:val="00DB00CA"/>
    <w:rsid w:val="00DB0B62"/>
    <w:rsid w:val="00DB42DD"/>
    <w:rsid w:val="00DC0056"/>
    <w:rsid w:val="00DC031F"/>
    <w:rsid w:val="00DC6948"/>
    <w:rsid w:val="00DC6993"/>
    <w:rsid w:val="00DD0558"/>
    <w:rsid w:val="00DD454D"/>
    <w:rsid w:val="00DD5220"/>
    <w:rsid w:val="00DD65CF"/>
    <w:rsid w:val="00DE38C8"/>
    <w:rsid w:val="00DE52AB"/>
    <w:rsid w:val="00DF025D"/>
    <w:rsid w:val="00E12585"/>
    <w:rsid w:val="00E170BF"/>
    <w:rsid w:val="00E17A4A"/>
    <w:rsid w:val="00E20D09"/>
    <w:rsid w:val="00E21661"/>
    <w:rsid w:val="00E22ECE"/>
    <w:rsid w:val="00E237DF"/>
    <w:rsid w:val="00E251D9"/>
    <w:rsid w:val="00E27833"/>
    <w:rsid w:val="00E27EC8"/>
    <w:rsid w:val="00E30B85"/>
    <w:rsid w:val="00E3118B"/>
    <w:rsid w:val="00E326C6"/>
    <w:rsid w:val="00E34D79"/>
    <w:rsid w:val="00E34E30"/>
    <w:rsid w:val="00E43D0A"/>
    <w:rsid w:val="00E45A49"/>
    <w:rsid w:val="00E61EB9"/>
    <w:rsid w:val="00E6670A"/>
    <w:rsid w:val="00E67A8C"/>
    <w:rsid w:val="00E7093A"/>
    <w:rsid w:val="00E7255C"/>
    <w:rsid w:val="00E73146"/>
    <w:rsid w:val="00E768AC"/>
    <w:rsid w:val="00E76BB4"/>
    <w:rsid w:val="00E8354D"/>
    <w:rsid w:val="00E843BD"/>
    <w:rsid w:val="00E8642C"/>
    <w:rsid w:val="00E86787"/>
    <w:rsid w:val="00E87C0F"/>
    <w:rsid w:val="00E93EB4"/>
    <w:rsid w:val="00E95836"/>
    <w:rsid w:val="00E9589D"/>
    <w:rsid w:val="00EA1D96"/>
    <w:rsid w:val="00EA30C9"/>
    <w:rsid w:val="00EA36EB"/>
    <w:rsid w:val="00EB617D"/>
    <w:rsid w:val="00EB752E"/>
    <w:rsid w:val="00EB7584"/>
    <w:rsid w:val="00EC44B4"/>
    <w:rsid w:val="00EC5131"/>
    <w:rsid w:val="00EC6069"/>
    <w:rsid w:val="00EC6E16"/>
    <w:rsid w:val="00EF109F"/>
    <w:rsid w:val="00F051A4"/>
    <w:rsid w:val="00F052DD"/>
    <w:rsid w:val="00F1267C"/>
    <w:rsid w:val="00F14E97"/>
    <w:rsid w:val="00F17428"/>
    <w:rsid w:val="00F2249C"/>
    <w:rsid w:val="00F24AA9"/>
    <w:rsid w:val="00F26ED9"/>
    <w:rsid w:val="00F331BA"/>
    <w:rsid w:val="00F41ACD"/>
    <w:rsid w:val="00F42023"/>
    <w:rsid w:val="00F421EC"/>
    <w:rsid w:val="00F4483B"/>
    <w:rsid w:val="00F5476B"/>
    <w:rsid w:val="00F55BC8"/>
    <w:rsid w:val="00F713C9"/>
    <w:rsid w:val="00F73172"/>
    <w:rsid w:val="00F82B41"/>
    <w:rsid w:val="00F830B2"/>
    <w:rsid w:val="00F861AE"/>
    <w:rsid w:val="00F8694B"/>
    <w:rsid w:val="00FA32E5"/>
    <w:rsid w:val="00FA538B"/>
    <w:rsid w:val="00FA5F08"/>
    <w:rsid w:val="00FB58E7"/>
    <w:rsid w:val="00FB75A8"/>
    <w:rsid w:val="00FC295F"/>
    <w:rsid w:val="00FC45BF"/>
    <w:rsid w:val="00FC4CC7"/>
    <w:rsid w:val="00FD106D"/>
    <w:rsid w:val="00FD18B3"/>
    <w:rsid w:val="00FE0338"/>
    <w:rsid w:val="00FE0F67"/>
    <w:rsid w:val="00FE37C7"/>
    <w:rsid w:val="00FE4E24"/>
    <w:rsid w:val="00FE59DC"/>
    <w:rsid w:val="00FE73B9"/>
    <w:rsid w:val="00FF6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B911E"/>
  <w15:chartTrackingRefBased/>
  <w15:docId w15:val="{CD0B26C0-F464-442F-AF4A-B2717267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EB"/>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uiPriority w:val="9"/>
    <w:qFormat/>
    <w:rsid w:val="001616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0EB"/>
    <w:pPr>
      <w:tabs>
        <w:tab w:val="center" w:pos="4419"/>
        <w:tab w:val="right" w:pos="8838"/>
      </w:tabs>
    </w:pPr>
  </w:style>
  <w:style w:type="character" w:customStyle="1" w:styleId="EncabezadoCar">
    <w:name w:val="Encabezado Car"/>
    <w:basedOn w:val="Fuentedeprrafopredeter"/>
    <w:link w:val="Encabezado"/>
    <w:uiPriority w:val="99"/>
    <w:rsid w:val="009E00EB"/>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9E00EB"/>
    <w:pPr>
      <w:ind w:left="720"/>
      <w:contextualSpacing/>
    </w:pPr>
  </w:style>
  <w:style w:type="paragraph" w:styleId="Piedepgina">
    <w:name w:val="footer"/>
    <w:basedOn w:val="Normal"/>
    <w:link w:val="PiedepginaCar"/>
    <w:uiPriority w:val="99"/>
    <w:unhideWhenUsed/>
    <w:rsid w:val="009E00EB"/>
    <w:pPr>
      <w:tabs>
        <w:tab w:val="center" w:pos="4419"/>
        <w:tab w:val="right" w:pos="8838"/>
      </w:tabs>
    </w:pPr>
  </w:style>
  <w:style w:type="character" w:customStyle="1" w:styleId="PiedepginaCar">
    <w:name w:val="Pie de página Car"/>
    <w:basedOn w:val="Fuentedeprrafopredeter"/>
    <w:link w:val="Piedepgina"/>
    <w:uiPriority w:val="99"/>
    <w:rsid w:val="009E00EB"/>
    <w:rPr>
      <w:rFonts w:ascii="Times New Roman" w:eastAsia="Times New Roman" w:hAnsi="Times New Roman" w:cs="Times New Roman"/>
      <w:kern w:val="0"/>
      <w:sz w:val="24"/>
      <w:szCs w:val="24"/>
      <w:lang w:eastAsia="es-ES"/>
      <w14:ligatures w14:val="none"/>
    </w:rPr>
  </w:style>
  <w:style w:type="table" w:styleId="Tablaconcuadrcula">
    <w:name w:val="Table Grid"/>
    <w:basedOn w:val="Tablanormal"/>
    <w:uiPriority w:val="39"/>
    <w:rsid w:val="009E00EB"/>
    <w:pPr>
      <w:spacing w:after="0" w:line="240" w:lineRule="auto"/>
    </w:pPr>
    <w:rPr>
      <w:rFonts w:ascii="Cambria" w:eastAsia="Times New Roman" w:hAnsi="Cambria" w:cs="Times New Roman"/>
      <w:kern w:val="0"/>
      <w:sz w:val="20"/>
      <w:szCs w:val="20"/>
      <w:lang w:eastAsia="es-MX"/>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5F0E93"/>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5F0E93"/>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 de nota al,R"/>
    <w:basedOn w:val="Fuentedeprrafopredeter"/>
    <w:link w:val="4GChar"/>
    <w:uiPriority w:val="99"/>
    <w:unhideWhenUsed/>
    <w:qFormat/>
    <w:rsid w:val="005F0E93"/>
    <w:rPr>
      <w:vertAlign w:val="superscript"/>
    </w:rPr>
  </w:style>
  <w:style w:type="character" w:styleId="Hipervnculo">
    <w:name w:val="Hyperlink"/>
    <w:basedOn w:val="Fuentedeprrafopredeter"/>
    <w:uiPriority w:val="99"/>
    <w:unhideWhenUsed/>
    <w:rsid w:val="001D7B68"/>
    <w:rPr>
      <w:color w:val="0563C1" w:themeColor="hyperlink"/>
      <w:u w:val="single"/>
    </w:rPr>
  </w:style>
  <w:style w:type="character" w:customStyle="1" w:styleId="Mencinsinresolver1">
    <w:name w:val="Mención sin resolver1"/>
    <w:basedOn w:val="Fuentedeprrafopredeter"/>
    <w:uiPriority w:val="99"/>
    <w:semiHidden/>
    <w:unhideWhenUsed/>
    <w:rsid w:val="001D7B68"/>
    <w:rPr>
      <w:color w:val="605E5C"/>
      <w:shd w:val="clear" w:color="auto" w:fill="E1DFDD"/>
    </w:rPr>
  </w:style>
  <w:style w:type="character" w:customStyle="1" w:styleId="Ttulo1Car">
    <w:name w:val="Título 1 Car"/>
    <w:basedOn w:val="Fuentedeprrafopredeter"/>
    <w:link w:val="Ttulo1"/>
    <w:uiPriority w:val="9"/>
    <w:rsid w:val="00161623"/>
    <w:rPr>
      <w:rFonts w:asciiTheme="majorHAnsi" w:eastAsiaTheme="majorEastAsia" w:hAnsiTheme="majorHAnsi" w:cstheme="majorBidi"/>
      <w:color w:val="2F5496" w:themeColor="accent1" w:themeShade="BF"/>
      <w:kern w:val="0"/>
      <w:sz w:val="32"/>
      <w:szCs w:val="32"/>
      <w:lang w:eastAsia="es-ES"/>
      <w14:ligatures w14:val="none"/>
    </w:rPr>
  </w:style>
  <w:style w:type="paragraph" w:styleId="TtulodeTDC">
    <w:name w:val="TOC Heading"/>
    <w:basedOn w:val="Ttulo1"/>
    <w:next w:val="Normal"/>
    <w:uiPriority w:val="39"/>
    <w:unhideWhenUsed/>
    <w:qFormat/>
    <w:rsid w:val="00161623"/>
    <w:pPr>
      <w:spacing w:line="259" w:lineRule="auto"/>
      <w:outlineLvl w:val="9"/>
    </w:pPr>
    <w:rPr>
      <w:lang w:eastAsia="es-MX"/>
    </w:rPr>
  </w:style>
  <w:style w:type="paragraph" w:styleId="TDC1">
    <w:name w:val="toc 1"/>
    <w:basedOn w:val="Normal"/>
    <w:next w:val="Normal"/>
    <w:autoRedefine/>
    <w:uiPriority w:val="39"/>
    <w:unhideWhenUsed/>
    <w:rsid w:val="0093199B"/>
    <w:pPr>
      <w:tabs>
        <w:tab w:val="right" w:leader="dot" w:pos="9769"/>
      </w:tabs>
      <w:spacing w:after="100"/>
    </w:pPr>
  </w:style>
  <w:style w:type="paragraph" w:customStyle="1" w:styleId="Texto">
    <w:name w:val="Texto"/>
    <w:basedOn w:val="Normal"/>
    <w:link w:val="TextoCar"/>
    <w:rsid w:val="008528B5"/>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8528B5"/>
    <w:rPr>
      <w:rFonts w:ascii="Arial" w:eastAsia="Times New Roman" w:hAnsi="Arial" w:cs="Arial"/>
      <w:kern w:val="0"/>
      <w:sz w:val="18"/>
      <w:szCs w:val="20"/>
      <w:lang w:val="es-ES" w:eastAsia="es-ES"/>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75742"/>
    <w:pPr>
      <w:jc w:val="both"/>
    </w:pPr>
    <w:rPr>
      <w:rFonts w:asciiTheme="minorHAnsi" w:eastAsiaTheme="minorHAnsi" w:hAnsiTheme="minorHAnsi" w:cstheme="minorBidi"/>
      <w:kern w:val="2"/>
      <w:sz w:val="22"/>
      <w:szCs w:val="22"/>
      <w:vertAlign w:val="superscript"/>
      <w:lang w:eastAsia="en-US"/>
      <w14:ligatures w14:val="standardContextual"/>
    </w:rPr>
  </w:style>
  <w:style w:type="paragraph" w:customStyle="1" w:styleId="corte4fondo">
    <w:name w:val="corte4 fondo"/>
    <w:basedOn w:val="Normal"/>
    <w:link w:val="corte4fondoCar1"/>
    <w:qFormat/>
    <w:rsid w:val="0050723A"/>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50723A"/>
    <w:rPr>
      <w:rFonts w:ascii="Arial" w:eastAsia="Times New Roman" w:hAnsi="Arial" w:cs="Times New Roman"/>
      <w:kern w:val="0"/>
      <w:sz w:val="30"/>
      <w:szCs w:val="20"/>
      <w:lang w:val="es-ES_tradnl" w:eastAsia="es-MX"/>
      <w14:ligatures w14:val="none"/>
    </w:rPr>
  </w:style>
  <w:style w:type="paragraph" w:styleId="Revisin">
    <w:name w:val="Revision"/>
    <w:hidden/>
    <w:uiPriority w:val="99"/>
    <w:semiHidden/>
    <w:rsid w:val="00E86787"/>
    <w:pPr>
      <w:spacing w:after="0" w:line="240" w:lineRule="auto"/>
    </w:pPr>
    <w:rPr>
      <w:rFonts w:ascii="Times New Roman" w:eastAsia="Times New Roman" w:hAnsi="Times New Roman" w:cs="Times New Roman"/>
      <w:kern w:val="0"/>
      <w:sz w:val="24"/>
      <w:szCs w:val="24"/>
      <w:lang w:eastAsia="es-ES"/>
      <w14:ligatures w14:val="none"/>
    </w:rPr>
  </w:style>
  <w:style w:type="character" w:styleId="Refdecomentario">
    <w:name w:val="annotation reference"/>
    <w:basedOn w:val="Fuentedeprrafopredeter"/>
    <w:uiPriority w:val="99"/>
    <w:semiHidden/>
    <w:unhideWhenUsed/>
    <w:rsid w:val="000A61DB"/>
    <w:rPr>
      <w:sz w:val="16"/>
      <w:szCs w:val="16"/>
    </w:rPr>
  </w:style>
  <w:style w:type="paragraph" w:styleId="Textocomentario">
    <w:name w:val="annotation text"/>
    <w:basedOn w:val="Normal"/>
    <w:link w:val="TextocomentarioCar"/>
    <w:uiPriority w:val="99"/>
    <w:unhideWhenUsed/>
    <w:rsid w:val="000A61DB"/>
    <w:rPr>
      <w:sz w:val="20"/>
      <w:szCs w:val="20"/>
    </w:rPr>
  </w:style>
  <w:style w:type="character" w:customStyle="1" w:styleId="TextocomentarioCar">
    <w:name w:val="Texto comentario Car"/>
    <w:basedOn w:val="Fuentedeprrafopredeter"/>
    <w:link w:val="Textocomentario"/>
    <w:uiPriority w:val="99"/>
    <w:rsid w:val="000A61DB"/>
    <w:rPr>
      <w:rFonts w:ascii="Times New Roman" w:eastAsia="Times New Roman" w:hAnsi="Times New Roman"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0A61DB"/>
    <w:rPr>
      <w:b/>
      <w:bCs/>
    </w:rPr>
  </w:style>
  <w:style w:type="character" w:customStyle="1" w:styleId="AsuntodelcomentarioCar">
    <w:name w:val="Asunto del comentario Car"/>
    <w:basedOn w:val="TextocomentarioCar"/>
    <w:link w:val="Asuntodelcomentario"/>
    <w:uiPriority w:val="99"/>
    <w:semiHidden/>
    <w:rsid w:val="000A61DB"/>
    <w:rPr>
      <w:rFonts w:ascii="Times New Roman" w:eastAsia="Times New Roman" w:hAnsi="Times New Roman" w:cs="Times New Roman"/>
      <w:b/>
      <w:bCs/>
      <w:kern w:val="0"/>
      <w:sz w:val="20"/>
      <w:szCs w:val="20"/>
      <w:lang w:eastAsia="es-ES"/>
      <w14:ligatures w14:val="none"/>
    </w:rPr>
  </w:style>
  <w:style w:type="character" w:styleId="Hipervnculovisitado">
    <w:name w:val="FollowedHyperlink"/>
    <w:basedOn w:val="Fuentedeprrafopredeter"/>
    <w:uiPriority w:val="99"/>
    <w:semiHidden/>
    <w:unhideWhenUsed/>
    <w:rsid w:val="007E386C"/>
    <w:rPr>
      <w:color w:val="954F72" w:themeColor="followedHyperlink"/>
      <w:u w:val="single"/>
    </w:rPr>
  </w:style>
  <w:style w:type="character" w:customStyle="1" w:styleId="UnresolvedMention">
    <w:name w:val="Unresolved Mention"/>
    <w:basedOn w:val="Fuentedeprrafopredeter"/>
    <w:uiPriority w:val="99"/>
    <w:semiHidden/>
    <w:unhideWhenUsed/>
    <w:rsid w:val="008A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0352">
      <w:bodyDiv w:val="1"/>
      <w:marLeft w:val="0"/>
      <w:marRight w:val="0"/>
      <w:marTop w:val="0"/>
      <w:marBottom w:val="0"/>
      <w:divBdr>
        <w:top w:val="none" w:sz="0" w:space="0" w:color="auto"/>
        <w:left w:val="none" w:sz="0" w:space="0" w:color="auto"/>
        <w:bottom w:val="none" w:sz="0" w:space="0" w:color="auto"/>
        <w:right w:val="none" w:sz="0" w:space="0" w:color="auto"/>
      </w:divBdr>
    </w:div>
    <w:div w:id="344016639">
      <w:bodyDiv w:val="1"/>
      <w:marLeft w:val="0"/>
      <w:marRight w:val="0"/>
      <w:marTop w:val="0"/>
      <w:marBottom w:val="0"/>
      <w:divBdr>
        <w:top w:val="none" w:sz="0" w:space="0" w:color="auto"/>
        <w:left w:val="none" w:sz="0" w:space="0" w:color="auto"/>
        <w:bottom w:val="none" w:sz="0" w:space="0" w:color="auto"/>
        <w:right w:val="none" w:sz="0" w:space="0" w:color="auto"/>
      </w:divBdr>
    </w:div>
    <w:div w:id="1087385608">
      <w:bodyDiv w:val="1"/>
      <w:marLeft w:val="0"/>
      <w:marRight w:val="0"/>
      <w:marTop w:val="0"/>
      <w:marBottom w:val="0"/>
      <w:divBdr>
        <w:top w:val="none" w:sz="0" w:space="0" w:color="auto"/>
        <w:left w:val="none" w:sz="0" w:space="0" w:color="auto"/>
        <w:bottom w:val="none" w:sz="0" w:space="0" w:color="auto"/>
        <w:right w:val="none" w:sz="0" w:space="0" w:color="auto"/>
      </w:divBdr>
    </w:div>
    <w:div w:id="1088773342">
      <w:bodyDiv w:val="1"/>
      <w:marLeft w:val="0"/>
      <w:marRight w:val="0"/>
      <w:marTop w:val="0"/>
      <w:marBottom w:val="0"/>
      <w:divBdr>
        <w:top w:val="none" w:sz="0" w:space="0" w:color="auto"/>
        <w:left w:val="none" w:sz="0" w:space="0" w:color="auto"/>
        <w:bottom w:val="none" w:sz="0" w:space="0" w:color="auto"/>
        <w:right w:val="none" w:sz="0" w:space="0" w:color="auto"/>
      </w:divBdr>
    </w:div>
    <w:div w:id="1247763338">
      <w:bodyDiv w:val="1"/>
      <w:marLeft w:val="0"/>
      <w:marRight w:val="0"/>
      <w:marTop w:val="0"/>
      <w:marBottom w:val="0"/>
      <w:divBdr>
        <w:top w:val="none" w:sz="0" w:space="0" w:color="auto"/>
        <w:left w:val="none" w:sz="0" w:space="0" w:color="auto"/>
        <w:bottom w:val="none" w:sz="0" w:space="0" w:color="auto"/>
        <w:right w:val="none" w:sz="0" w:space="0" w:color="auto"/>
      </w:divBdr>
    </w:div>
    <w:div w:id="1517961015">
      <w:bodyDiv w:val="1"/>
      <w:marLeft w:val="0"/>
      <w:marRight w:val="0"/>
      <w:marTop w:val="0"/>
      <w:marBottom w:val="0"/>
      <w:divBdr>
        <w:top w:val="none" w:sz="0" w:space="0" w:color="auto"/>
        <w:left w:val="none" w:sz="0" w:space="0" w:color="auto"/>
        <w:bottom w:val="none" w:sz="0" w:space="0" w:color="auto"/>
        <w:right w:val="none" w:sz="0" w:space="0" w:color="auto"/>
      </w:divBdr>
    </w:div>
    <w:div w:id="1526597844">
      <w:bodyDiv w:val="1"/>
      <w:marLeft w:val="0"/>
      <w:marRight w:val="0"/>
      <w:marTop w:val="0"/>
      <w:marBottom w:val="0"/>
      <w:divBdr>
        <w:top w:val="none" w:sz="0" w:space="0" w:color="auto"/>
        <w:left w:val="none" w:sz="0" w:space="0" w:color="auto"/>
        <w:bottom w:val="none" w:sz="0" w:space="0" w:color="auto"/>
        <w:right w:val="none" w:sz="0" w:space="0" w:color="auto"/>
      </w:divBdr>
    </w:div>
    <w:div w:id="19513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venciondiscapacidad.es/wp-content/uploads/2019/01/Observaci%C3%B3n-1-Art%C3%ADculo-12-Capacidad-jur%C3%ADdica.pdf" TargetMode="External"/><Relationship Id="rId2" Type="http://schemas.openxmlformats.org/officeDocument/2006/relationships/hyperlink" Target="https://www.un.org/esa/socdev/enable/documents/tccconvs.pdf" TargetMode="External"/><Relationship Id="rId1" Type="http://schemas.openxmlformats.org/officeDocument/2006/relationships/hyperlink" Target="https://www.scjn.gob.mx/derechos-humanos/sites/default/files/sentencias-emblematicas/resumen/2020-12/Resumen%20AR1368-2015%20DGDH.pdf" TargetMode="External"/><Relationship Id="rId5" Type="http://schemas.openxmlformats.org/officeDocument/2006/relationships/hyperlink" Target="https://www.legisver.gob.mx/leyes/LeyesPDF/CODIGOCIVIL12102022F.pdf" TargetMode="External"/><Relationship Id="rId4" Type="http://schemas.openxmlformats.org/officeDocument/2006/relationships/hyperlink" Target="https://documents.un.org/doc/undoc/gen/g18/336/57/pdf/g1833657.pdf?token=2kuKFnePiJxHynC5oZ&amp;fe=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2D6A-2335-4364-8B0D-7BDC066D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5</Pages>
  <Words>1484</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Aarón Flores</dc:creator>
  <cp:keywords/>
  <dc:description/>
  <cp:lastModifiedBy>Cuenta Microsoft</cp:lastModifiedBy>
  <cp:revision>115</cp:revision>
  <dcterms:created xsi:type="dcterms:W3CDTF">2024-04-08T21:16:00Z</dcterms:created>
  <dcterms:modified xsi:type="dcterms:W3CDTF">2024-06-10T20:47:00Z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1e26d1ec5067af82175fddd7298408885759782783f711cc79b2c8efb1009aa0</vt:lpwstr>
  </property>
</Properties>
</file>